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400"/>
      </w:pPr>
    </w:p>
    <w:p>
      <w:pPr>
        <w:spacing w:after="40" w:before="0"/>
        <w:jc w:val="center"/>
      </w:pPr>
      <w:r>
        <w:rPr>
          <w:rFonts w:ascii="Arial" w:cs="Arial" w:eastAsia="Arial" w:hAnsi="Arial"/>
          <w:b/>
          <w:bCs/>
          <w:color w:val="1A1A2E"/>
          <w:sz w:val="64"/>
          <w:szCs w:val="64"/>
        </w:rPr>
        <w:t xml:space="preserve">MIRROREDGE LLC</w:t>
      </w:r>
    </w:p>
    <w:p>
      <w:pPr>
        <w:spacing w:after="40" w:before="0"/>
        <w:jc w:val="center"/>
      </w:pPr>
      <w:r>
        <w:rPr>
          <w:rFonts w:ascii="Arial" w:cs="Arial" w:eastAsia="Arial" w:hAnsi="Arial"/>
          <w:b/>
          <w:bCs/>
          <w:color w:val="C9A84C"/>
          <w:sz w:val="40"/>
          <w:szCs w:val="40"/>
        </w:rPr>
        <w:t xml:space="preserve">MASTER TERMS OF SERVICE</w:t>
      </w:r>
    </w:p>
    <w:p>
      <w:pPr>
        <w:spacing w:after="40" w:before="0"/>
        <w:jc w:val="center"/>
      </w:pPr>
      <w:r>
        <w:rPr>
          <w:rFonts w:ascii="Arial" w:cs="Arial" w:eastAsia="Arial" w:hAnsi="Arial"/>
          <w:b/>
          <w:bCs/>
          <w:color w:val="C9A84C"/>
          <w:sz w:val="32"/>
          <w:szCs w:val="32"/>
        </w:rPr>
        <w:t xml:space="preserve">&amp; SOVEREIGNTY AGREEMENT</w:t>
      </w:r>
    </w:p>
    <w:p>
      <w:pPr>
        <w:pBdr>
          <w:bottom w:val="single" w:color="C9A84C" w:sz="8" w:space="1"/>
        </w:pBdr>
        <w:spacing w:after="200" w:before="200"/>
      </w:pPr>
    </w:p>
    <w:p>
      <w:pPr>
        <w:spacing w:after="60" w:before="60"/>
        <w:jc w:val="center"/>
      </w:pPr>
      <w:r>
        <w:rPr>
          <w:rFonts w:ascii="Arial" w:cs="Arial" w:eastAsia="Arial" w:hAnsi="Arial"/>
          <w:color w:val="555555"/>
          <w:sz w:val="22"/>
          <w:szCs w:val="22"/>
        </w:rPr>
        <w:t xml:space="preserve">Effective Date: April 10, 2026  |  Version 2.0</w:t>
      </w:r>
    </w:p>
    <w:p>
      <w:pPr>
        <w:spacing w:after="60" w:before="0"/>
        <w:jc w:val="center"/>
      </w:pPr>
      <w:r>
        <w:rPr>
          <w:rFonts w:ascii="Arial" w:cs="Arial" w:eastAsia="Arial" w:hAnsi="Arial"/>
          <w:color w:val="555555"/>
          <w:sz w:val="20"/>
          <w:szCs w:val="20"/>
        </w:rPr>
        <w:t xml:space="preserve">Entity: MirrorEdge LLC  |  Jurisdiction: Conway, Faulkner County, Arkansas, U.S.A.</w:t>
      </w:r>
    </w:p>
    <w:p>
      <w:pPr>
        <w:spacing w:after="60" w:before="0"/>
        <w:jc w:val="center"/>
      </w:pPr>
      <w:r>
        <w:rPr>
          <w:rFonts w:ascii="Arial" w:cs="Arial" w:eastAsia="Arial" w:hAnsi="Arial"/>
          <w:color w:val="555555"/>
          <w:sz w:val="20"/>
          <w:szCs w:val="20"/>
        </w:rPr>
        <w:t xml:space="preserve">mirroredgeai.com  |  william@mirroredgeai.com</w:t>
      </w:r>
    </w:p>
    <w:p>
      <w:pPr>
        <w:pBdr>
          <w:bottom w:val="single" w:color="C9A84C" w:sz="8" w:space="1"/>
        </w:pBdr>
        <w:spacing w:after="200" w:before="200"/>
      </w:pPr>
    </w:p>
    <w:p>
      <w:pPr>
        <w:spacing w:after="60" w:before="120"/>
      </w:pPr>
    </w:p>
    <w:p>
      <w:pPr>
        <w:pBdr>
          <w:top w:val="single" w:color="C9A84C" w:sz="6"/>
          <w:bottom w:val="single" w:color="C9A84C" w:sz="6"/>
          <w:left w:val="single" w:color="C9A84C" w:sz="6"/>
          <w:right w:val="single" w:color="C9A84C" w:sz="6"/>
        </w:pBdr>
        <w:shd w:fill="FFF3CD" w:val="clear"/>
        <w:spacing w:after="100" w:before="100"/>
        <w:jc w:val="center"/>
      </w:pPr>
      <w:r>
        <w:rPr>
          <w:rFonts w:ascii="Arial" w:cs="Arial" w:eastAsia="Arial" w:hAnsi="Arial"/>
          <w:b/>
          <w:bCs/>
          <w:color w:val="7D4E00"/>
          <w:sz w:val="22"/>
          <w:szCs w:val="22"/>
        </w:rPr>
        <w:t xml:space="preserve">⚠  THIS IS NOT A STANDARD SOFTWARE AGREEMENT  ⚠</w:t>
      </w:r>
    </w:p>
    <w:p>
      <w:pPr>
        <w:spacing w:after="60" w:before="60"/>
      </w:pPr>
    </w:p>
    <w:p>
      <w:pPr>
        <w:spacing w:after="80" w:before="80"/>
        <w:jc w:val="both"/>
      </w:pPr>
      <w:r>
        <w:rPr>
          <w:rFonts w:ascii="Arial" w:cs="Arial" w:eastAsia="Arial" w:hAnsi="Arial"/>
          <w:sz w:val="20"/>
          <w:szCs w:val="20"/>
        </w:rPr>
        <w:t xml:space="preserve">By accessing, installing, deploying containers, initializing the MEOP Protocol, or clicking "I ACCEPT," you ("User," "Client," or "Enterprise") agree to be bound by this Sovereign Technology Agreement. This Agreement governs all MirrorEdge LLC Services and Machines, and supersedes any prior representations, negotiations, or agreements. If you do not agree, you must immediately cease all use of the Services.</w:t>
      </w:r>
    </w:p>
    <w:p>
      <w:pPr>
        <w:spacing w:after="100" w:before="100"/>
      </w:pPr>
    </w:p>
    <w:p>
      <w:pPr>
        <w:pStyle w:val="Heading1"/>
        <w:pBdr>
          <w:bottom w:val="single" w:color="C9A84C" w:sz="6" w:space="4"/>
        </w:pBdr>
        <w:spacing w:after="120" w:before="360"/>
      </w:pPr>
      <w:r>
        <w:rPr>
          <w:rFonts w:ascii="Arial" w:cs="Arial" w:eastAsia="Arial" w:hAnsi="Arial"/>
          <w:b/>
          <w:bCs/>
          <w:color w:val="1A1A2E"/>
          <w:sz w:val="28"/>
          <w:szCs w:val="28"/>
        </w:rPr>
        <w:t xml:space="preserve">SECTION 0: DEFINED TERMS</w:t>
      </w:r>
    </w:p>
    <w:p>
      <w:pPr>
        <w:spacing w:after="80" w:before="80"/>
        <w:jc w:val="left"/>
      </w:pPr>
      <w:r>
        <w:rPr>
          <w:rFonts w:ascii="Arial" w:cs="Arial" w:eastAsia="Arial" w:hAnsi="Arial"/>
          <w:sz w:val="20"/>
          <w:szCs w:val="20"/>
        </w:rPr>
        <w:t xml:space="preserve">The following terms, when capitalized, carry the meanings set forth below throughout this Agreement:</w:t>
      </w:r>
    </w:p>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DDDDDD" w:sz="1"/>
              <w:left w:val="single" w:color="DDDDDD" w:sz="1"/>
              <w:bottom w:val="single" w:color="DDDDDD" w:sz="1"/>
              <w:right w:val="single" w:color="DDDDDD" w:sz="1"/>
            </w:tcBorders>
            <w:shd w:fill="1A1A2E" w:val="clear"/>
            <w:tcMar>
              <w:top w:type="dxa" w:w="100"/>
              <w:left w:type="dxa" w:w="120"/>
              <w:bottom w:type="dxa" w:w="100"/>
              <w:right w:type="dxa" w:w="120"/>
            </w:tcMar>
          </w:tcPr>
          <w:p>
            <w:r>
              <w:rPr>
                <w:rFonts w:ascii="Arial" w:cs="Arial" w:eastAsia="Arial" w:hAnsi="Arial"/>
                <w:b/>
                <w:bCs/>
                <w:color w:val="FFFFFF"/>
                <w:sz w:val="18"/>
                <w:szCs w:val="18"/>
              </w:rPr>
              <w:t xml:space="preserve">DEFINED TERM</w:t>
            </w:r>
          </w:p>
        </w:tc>
        <w:tc>
          <w:tcPr>
            <w:tcW w:type="dxa" w:w="6240"/>
            <w:tcBorders>
              <w:top w:val="single" w:color="DDDDDD" w:sz="1"/>
              <w:left w:val="single" w:color="DDDDDD" w:sz="1"/>
              <w:bottom w:val="single" w:color="DDDDDD" w:sz="1"/>
              <w:right w:val="single" w:color="DDDDDD" w:sz="1"/>
            </w:tcBorders>
            <w:shd w:fill="1A1A2E" w:val="clear"/>
            <w:tcMar>
              <w:top w:type="dxa" w:w="100"/>
              <w:left w:type="dxa" w:w="120"/>
              <w:bottom w:type="dxa" w:w="100"/>
              <w:right w:type="dxa" w:w="120"/>
            </w:tcMar>
          </w:tcPr>
          <w:p>
            <w:r>
              <w:rPr>
                <w:rFonts w:ascii="Arial" w:cs="Arial" w:eastAsia="Arial" w:hAnsi="Arial"/>
                <w:b/>
                <w:bCs/>
                <w:color w:val="FFFFFF"/>
                <w:sz w:val="18"/>
                <w:szCs w:val="18"/>
              </w:rPr>
              <w:t xml:space="preserve">DEFINITION</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MirrorEdge / Company / We</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MirrorEdge LLC, an Arkansas Limited Liability Company located in Conway, Faulkner County, Arkansas.</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User / Client / Enterprise / You</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Any individual, entity, or organization that accesses, installs, or deploys any MirrorEdge Service or Machine.</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Services / Machines</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All software products, platforms, APIs, agents, and tools provided by MirrorEdge LLC, including but not limited to The Crucible, Kinetic-Habit Vector, Med-Vault Diagnostix, Precedent-Ghost, ACTOPPA-Native Micro-Tutor, Pitcher, VIP Alert, Logistics Ghost, Yard-Sale Genius, Sight-Unseen Auditor, Event-Sync Butler, Sky-Watcher Compliance, Digital Decorator, Prompt Vault, and UI Kit.</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The Vault</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The Client's local, sovereign data environment where all proprietary input data, prompts, and outputs reside — never egressed to MirrorEdge central servers.</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MEOP</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The MirrorEdge Orchestration Protocol — the asynchronous, multi-agent routing and execution logic constituting the core trade secret of MirrorEdge LLC.</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Institutional Brain</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The totality of a Client's proprietary data, fine-tuned model parameters, and knowledge graphs residing within their sovereign Vault.</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Industrial Futurism</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The registered trade dress and design language of MirrorEdge LLC, encompassing glassmorphism, energy stripe overlays, corrugated metal textures, HUD-style visualizations, diagonal shadows, and 3D AI renders.</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Output</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Any AI-generated response, report, draft, recommendation, signal, or action produced by a MirrorEdge Machine in response to a Client's input.</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Minor</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Any individual under 18 years of age, or under a higher age threshold where applicable law so requires.</w:t>
            </w:r>
          </w:p>
        </w:tc>
      </w:tr>
      <w:tr>
        <w:tc>
          <w:tcPr>
            <w:tcW w:type="dxa" w:w="312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Effective Date</w:t>
            </w:r>
          </w:p>
        </w:tc>
        <w:tc>
          <w:tcPr>
            <w:tcW w:type="dxa" w:w="624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April 10, 2026 — the date this Agreement enters into force.</w:t>
            </w:r>
          </w:p>
        </w:tc>
      </w:tr>
    </w:tbl>
    <w:p>
      <w:pPr>
        <w:spacing w:after="100" w:before="100"/>
      </w:pPr>
    </w:p>
    <w:p>
      <w:pPr>
        <w:pStyle w:val="Heading1"/>
        <w:pBdr>
          <w:bottom w:val="single" w:color="C9A84C" w:sz="6" w:space="4"/>
        </w:pBdr>
        <w:spacing w:after="120" w:before="360"/>
      </w:pPr>
      <w:r>
        <w:rPr>
          <w:rFonts w:ascii="Arial" w:cs="Arial" w:eastAsia="Arial" w:hAnsi="Arial"/>
          <w:b/>
          <w:bCs/>
          <w:color w:val="1A1A2E"/>
          <w:sz w:val="28"/>
          <w:szCs w:val="28"/>
        </w:rPr>
        <w:t xml:space="preserve">SECTION 1: THE ZERO-EGRESS PRIVACY &amp; DATA SOVEREIGNTY MANDATE</w:t>
      </w:r>
    </w:p>
    <w:p>
      <w:pPr>
        <w:spacing w:after="80" w:before="80"/>
        <w:jc w:val="both"/>
      </w:pPr>
      <w:r>
        <w:rPr>
          <w:rFonts w:ascii="Arial" w:cs="Arial" w:eastAsia="Arial" w:hAnsi="Arial"/>
          <w:sz w:val="20"/>
          <w:szCs w:val="20"/>
        </w:rPr>
        <w:t xml:space="preserve">MirrorEdge LLC provides decentralized, edge-compute intelligence designed to keep your proprietary data on your local hardware within The Vault. This section establishes the foundational data architecture of every MirrorEdge Service.</w:t>
      </w:r>
    </w:p>
    <w:p>
      <w:pPr>
        <w:pStyle w:val="Heading2"/>
        <w:spacing w:after="80" w:before="240"/>
      </w:pPr>
      <w:r>
        <w:rPr>
          <w:rFonts w:ascii="Arial" w:cs="Arial" w:eastAsia="Arial" w:hAnsi="Arial"/>
          <w:b/>
          <w:bCs/>
          <w:color w:val="2C2C3E"/>
          <w:sz w:val="24"/>
          <w:szCs w:val="24"/>
        </w:rPr>
        <w:t xml:space="preserve">1.1 Client Data Sovereignty (The Input)</w:t>
      </w:r>
    </w:p>
    <w:p>
      <w:pPr>
        <w:spacing w:after="80" w:before="80"/>
        <w:jc w:val="both"/>
      </w:pPr>
      <w:r>
        <w:rPr>
          <w:rFonts w:ascii="Arial" w:cs="Arial" w:eastAsia="Arial" w:hAnsi="Arial"/>
          <w:sz w:val="20"/>
          <w:szCs w:val="20"/>
        </w:rPr>
        <w:t xml:space="preserve">You retain 100% absolute ownership of all proprietary data, text, files, and prompts inputted into a MirrorEdge Machine. MirrorEdge does not claim any ownership interest in your Institutional Brain or its contents.</w:t>
      </w:r>
    </w:p>
    <w:p>
      <w:pPr>
        <w:pStyle w:val="Heading2"/>
        <w:spacing w:after="80" w:before="240"/>
      </w:pPr>
      <w:r>
        <w:rPr>
          <w:rFonts w:ascii="Arial" w:cs="Arial" w:eastAsia="Arial" w:hAnsi="Arial"/>
          <w:b/>
          <w:bCs/>
          <w:color w:val="2C2C3E"/>
          <w:sz w:val="24"/>
          <w:szCs w:val="24"/>
        </w:rPr>
        <w:t xml:space="preserve">1.2 Zero-Training Mandate</w:t>
      </w:r>
    </w:p>
    <w:p>
      <w:pPr>
        <w:spacing w:after="80" w:before="80"/>
        <w:jc w:val="both"/>
      </w:pPr>
      <w:r>
        <w:rPr>
          <w:rFonts w:ascii="Arial" w:cs="Arial" w:eastAsia="Arial" w:hAnsi="Arial"/>
          <w:sz w:val="20"/>
          <w:szCs w:val="20"/>
        </w:rPr>
        <w:t xml:space="preserve">MirrorEdge LLC explicitly guarantees that it will never egress, siphon, or utilize your private Vault data to fine-tune, train, or adjust the parameter weights of MirrorEdge foundational Large Language Models without your separate, express written consent. Your Institutional Brain is your sovereign asset.</w:t>
      </w:r>
    </w:p>
    <w:p>
      <w:pPr>
        <w:pStyle w:val="Heading2"/>
        <w:spacing w:after="80" w:before="240"/>
      </w:pPr>
      <w:r>
        <w:rPr>
          <w:rFonts w:ascii="Arial" w:cs="Arial" w:eastAsia="Arial" w:hAnsi="Arial"/>
          <w:b/>
          <w:bCs/>
          <w:color w:val="2C2C3E"/>
          <w:sz w:val="24"/>
          <w:szCs w:val="24"/>
        </w:rPr>
        <w:t xml:space="preserve">1.3 Accurate Statement of Data Retention &amp; Third-Party Requests</w:t>
      </w:r>
    </w:p>
    <w:p>
      <w:pPr>
        <w:spacing w:after="80" w:before="80"/>
        <w:jc w:val="both"/>
      </w:pPr>
      <w:r>
        <w:rPr>
          <w:rFonts w:ascii="Arial" w:cs="Arial" w:eastAsia="Arial" w:hAnsi="Arial"/>
          <w:sz w:val="20"/>
          <w:szCs w:val="20"/>
        </w:rPr>
        <w:t xml:space="preserve">Because MirrorEdge LLC does not retain raw session data, Personal Identifiable Information (PII), or corporate trade secrets on centralized servers, MirrorEdge does not possess such data to produce in response to third-party legal demands, regulatory inquiries, or law enforcement requests. You acknowledge and agree that:</w:t>
      </w:r>
    </w:p>
    <w:p>
      <w:pPr>
        <w:pStyle w:val="ListParagraph"/>
        <w:numPr>
          <w:ilvl w:val="0"/>
          <w:numId w:val="2"/>
        </w:numPr>
        <w:spacing w:after="60" w:before="60"/>
      </w:pPr>
      <w:r>
        <w:rPr>
          <w:rFonts w:ascii="Arial" w:cs="Arial" w:eastAsia="Arial" w:hAnsi="Arial"/>
          <w:sz w:val="20"/>
          <w:szCs w:val="20"/>
        </w:rPr>
        <w:t xml:space="preserve">MirrorEdge cannot recover lost inputs or restore session data on your behalf.</w:t>
      </w:r>
    </w:p>
    <w:p>
      <w:pPr>
        <w:pStyle w:val="ListParagraph"/>
        <w:numPr>
          <w:ilvl w:val="0"/>
          <w:numId w:val="2"/>
        </w:numPr>
        <w:spacing w:after="60" w:before="60"/>
      </w:pPr>
      <w:r>
        <w:rPr>
          <w:rFonts w:ascii="Arial" w:cs="Arial" w:eastAsia="Arial" w:hAnsi="Arial"/>
          <w:sz w:val="20"/>
          <w:szCs w:val="20"/>
        </w:rPr>
        <w:t xml:space="preserve">Your Vault environment is your sovereign responsibility, including backup, security, and access control.</w:t>
      </w:r>
    </w:p>
    <w:p>
      <w:pPr>
        <w:pStyle w:val="ListParagraph"/>
        <w:numPr>
          <w:ilvl w:val="0"/>
          <w:numId w:val="2"/>
        </w:numPr>
        <w:spacing w:after="60" w:before="60"/>
      </w:pPr>
      <w:r>
        <w:rPr>
          <w:rFonts w:ascii="Arial" w:cs="Arial" w:eastAsia="Arial" w:hAnsi="Arial"/>
          <w:sz w:val="20"/>
          <w:szCs w:val="20"/>
        </w:rPr>
        <w:t xml:space="preserve">MirrorEdge may be required to produce metadata, infrastructure logs, or account-level records where lawfully compelled, even in the absence of raw session data.</w:t>
      </w:r>
    </w:p>
    <w:p>
      <w:pPr>
        <w:pStyle w:val="ListParagraph"/>
        <w:numPr>
          <w:ilvl w:val="0"/>
          <w:numId w:val="2"/>
        </w:numPr>
        <w:spacing w:after="60" w:before="60"/>
      </w:pPr>
      <w:r>
        <w:rPr>
          <w:rFonts w:ascii="Arial" w:cs="Arial" w:eastAsia="Arial" w:hAnsi="Arial"/>
          <w:sz w:val="20"/>
          <w:szCs w:val="20"/>
        </w:rPr>
        <w:t xml:space="preserve">This Section does not constitute legal immunity from any governmental or judicial process for either party.</w:t>
      </w:r>
    </w:p>
    <w:p>
      <w:pPr>
        <w:pStyle w:val="Heading2"/>
        <w:spacing w:after="80" w:before="240"/>
      </w:pPr>
      <w:r>
        <w:rPr>
          <w:rFonts w:ascii="Arial" w:cs="Arial" w:eastAsia="Arial" w:hAnsi="Arial"/>
          <w:b/>
          <w:bCs/>
          <w:color w:val="2C2C3E"/>
          <w:sz w:val="24"/>
          <w:szCs w:val="24"/>
        </w:rPr>
        <w:t xml:space="preserve">1.4 Output Ownership</w:t>
      </w:r>
    </w:p>
    <w:p>
      <w:pPr>
        <w:spacing w:after="80" w:before="80"/>
        <w:jc w:val="both"/>
      </w:pPr>
      <w:r>
        <w:rPr>
          <w:rFonts w:ascii="Arial" w:cs="Arial" w:eastAsia="Arial" w:hAnsi="Arial"/>
          <w:sz w:val="20"/>
          <w:szCs w:val="20"/>
        </w:rPr>
        <w:t xml:space="preserve">Outputs generated by a MirrorEdge Machine in response to your inputs are licensed to you for your internal business use. You acknowledge that similar, non-identical outputs may be generated for other clients using the same underlying Machine. MirrorEdge retains all ownership of the underlying models, weights, algorithms, and MEOP Protocol that produced the Output.</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2: BIOMETRIC PROCESSING &amp; MATHEMATICAL ABSTRACTION PROTOCOL</w:t>
      </w:r>
    </w:p>
    <w:p>
      <w:pPr>
        <w:spacing w:after="80" w:before="80"/>
        <w:jc w:val="both"/>
      </w:pPr>
      <w:r>
        <w:rPr>
          <w:rFonts w:ascii="Arial" w:cs="Arial" w:eastAsia="Arial" w:hAnsi="Arial"/>
          <w:sz w:val="20"/>
          <w:szCs w:val="20"/>
        </w:rPr>
        <w:t xml:space="preserve">Certain Machines (including The Crucible and Kinetic-Habit Vector) analyze environmental and behavioral signals to deliver their core functionality. This Section governs how those signals are processed.</w:t>
      </w:r>
    </w:p>
    <w:p>
      <w:pPr>
        <w:pStyle w:val="Heading2"/>
        <w:spacing w:after="80" w:before="240"/>
      </w:pPr>
      <w:r>
        <w:rPr>
          <w:rFonts w:ascii="Arial" w:cs="Arial" w:eastAsia="Arial" w:hAnsi="Arial"/>
          <w:b/>
          <w:bCs/>
          <w:color w:val="2C2C3E"/>
          <w:sz w:val="24"/>
          <w:szCs w:val="24"/>
        </w:rPr>
        <w:t xml:space="preserve">2.1 No Raw Biometric Storage</w:t>
      </w:r>
    </w:p>
    <w:p>
      <w:pPr>
        <w:spacing w:after="80" w:before="80"/>
        <w:jc w:val="both"/>
      </w:pPr>
      <w:r>
        <w:rPr>
          <w:rFonts w:ascii="Arial" w:cs="Arial" w:eastAsia="Arial" w:hAnsi="Arial"/>
          <w:sz w:val="20"/>
          <w:szCs w:val="20"/>
        </w:rPr>
        <w:t xml:space="preserve">MirrorEdge does not record, transmit, or store raw RGB video (.mp4), legible audio recordings (.mp3), facial imagery, or voiceprints.</w:t>
      </w:r>
    </w:p>
    <w:p>
      <w:pPr>
        <w:pStyle w:val="Heading2"/>
        <w:spacing w:after="80" w:before="240"/>
      </w:pPr>
      <w:r>
        <w:rPr>
          <w:rFonts w:ascii="Arial" w:cs="Arial" w:eastAsia="Arial" w:hAnsi="Arial"/>
          <w:b/>
          <w:bCs/>
          <w:color w:val="2C2C3E"/>
          <w:sz w:val="24"/>
          <w:szCs w:val="24"/>
        </w:rPr>
        <w:t xml:space="preserve">2.2 Mathematical Abstraction Processing</w:t>
      </w:r>
    </w:p>
    <w:p>
      <w:pPr>
        <w:spacing w:after="80" w:before="80"/>
        <w:jc w:val="both"/>
      </w:pPr>
      <w:r>
        <w:rPr>
          <w:rFonts w:ascii="Arial" w:cs="Arial" w:eastAsia="Arial" w:hAnsi="Arial"/>
          <w:sz w:val="20"/>
          <w:szCs w:val="20"/>
        </w:rPr>
        <w:t xml:space="preserve">These Machines extract only mathematical abstractions from sensor inputs, specifically:</w:t>
      </w:r>
    </w:p>
    <w:p>
      <w:pPr>
        <w:pStyle w:val="ListParagraph"/>
        <w:numPr>
          <w:ilvl w:val="0"/>
          <w:numId w:val="2"/>
        </w:numPr>
        <w:spacing w:after="60" w:before="60"/>
      </w:pPr>
      <w:r>
        <w:rPr>
          <w:rFonts w:ascii="Arial" w:cs="Arial" w:eastAsia="Arial" w:hAnsi="Arial"/>
          <w:sz w:val="20"/>
          <w:szCs w:val="20"/>
        </w:rPr>
        <w:t xml:space="preserve">Kinetic Mesh Vectors — coordinate distance measurements extracted from motion-capture inputs.</w:t>
      </w:r>
    </w:p>
    <w:p>
      <w:pPr>
        <w:pStyle w:val="ListParagraph"/>
        <w:numPr>
          <w:ilvl w:val="0"/>
          <w:numId w:val="2"/>
        </w:numPr>
        <w:spacing w:after="60" w:before="60"/>
      </w:pPr>
      <w:r>
        <w:rPr>
          <w:rFonts w:ascii="Arial" w:cs="Arial" w:eastAsia="Arial" w:hAnsi="Arial"/>
          <w:sz w:val="20"/>
          <w:szCs w:val="20"/>
        </w:rPr>
        <w:t xml:space="preserve">Acoustic Nano-Tremors — raw frequency band measurements extracted from audio inputs.</w:t>
      </w:r>
    </w:p>
    <w:p>
      <w:pPr>
        <w:spacing w:after="80" w:before="80"/>
        <w:jc w:val="both"/>
      </w:pPr>
      <w:r>
        <w:rPr>
          <w:rFonts w:ascii="Arial" w:cs="Arial" w:eastAsia="Arial" w:hAnsi="Arial"/>
          <w:sz w:val="20"/>
          <w:szCs w:val="20"/>
        </w:rPr>
        <w:t xml:space="preserve">All raw sensor data is immediately deleted from volatile memory (RAM) upon extraction of the mathematical abstraction. MirrorEdge retains only the derived mathematical values, not the underlying sensor recording. You acknowledge that these mathematical abstractions are not equivalent to biometric identifiers under applicable law, and that MirrorEdge does not possess the ability to reconstruct a user's face, voice, or identity from these logged abstractions under normal conditions.</w:t>
      </w:r>
    </w:p>
    <w:p>
      <w:pPr>
        <w:pStyle w:val="Heading2"/>
        <w:spacing w:after="80" w:before="240"/>
      </w:pPr>
      <w:r>
        <w:rPr>
          <w:rFonts w:ascii="Arial" w:cs="Arial" w:eastAsia="Arial" w:hAnsi="Arial"/>
          <w:b/>
          <w:bCs/>
          <w:color w:val="2C2C3E"/>
          <w:sz w:val="24"/>
          <w:szCs w:val="24"/>
        </w:rPr>
        <w:t xml:space="preserve">2.3 Biometric Law Compliance</w:t>
      </w:r>
    </w:p>
    <w:p>
      <w:pPr>
        <w:spacing w:after="80" w:before="80"/>
        <w:jc w:val="both"/>
      </w:pPr>
      <w:r>
        <w:rPr>
          <w:rFonts w:ascii="Arial" w:cs="Arial" w:eastAsia="Arial" w:hAnsi="Arial"/>
          <w:sz w:val="20"/>
          <w:szCs w:val="20"/>
        </w:rPr>
        <w:t xml:space="preserve">To the extent applicable state law imposes biometric data processing requirements (including but not limited to Illinois BIPA, Texas CUBI, or future Arkansas biometric statutes), MirrorEdge's architectural abstraction-first design is intended to operate outside the scope of such statutes. However, Clients operating in biometric-regulated jurisdictions are solely responsible for conducting their own legal compliance analysis prior to deployment.</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3: INTELLECTUAL PROPERTY &amp; THE MEOP TRADE SECRET</w:t>
      </w:r>
    </w:p>
    <w:p>
      <w:pPr>
        <w:spacing w:after="80" w:before="80"/>
        <w:jc w:val="both"/>
      </w:pPr>
      <w:r>
        <w:rPr>
          <w:rFonts w:ascii="Arial" w:cs="Arial" w:eastAsia="Arial" w:hAnsi="Arial"/>
          <w:sz w:val="20"/>
          <w:szCs w:val="20"/>
        </w:rPr>
        <w:t xml:space="preserve">To deliver high-performance sovereign AI without compromising proprietary innovations, intellectual property is strictly partitioned between MirrorEdge and the Client.</w:t>
      </w:r>
    </w:p>
    <w:p>
      <w:pPr>
        <w:pStyle w:val="Heading2"/>
        <w:spacing w:after="80" w:before="240"/>
      </w:pPr>
      <w:r>
        <w:rPr>
          <w:rFonts w:ascii="Arial" w:cs="Arial" w:eastAsia="Arial" w:hAnsi="Arial"/>
          <w:b/>
          <w:bCs/>
          <w:color w:val="2C2C3E"/>
          <w:sz w:val="24"/>
          <w:szCs w:val="24"/>
        </w:rPr>
        <w:t xml:space="preserve">3.1 MirrorEdge Ownership (The Engine)</w:t>
      </w:r>
    </w:p>
    <w:p>
      <w:pPr>
        <w:spacing w:after="80" w:before="80"/>
        <w:jc w:val="both"/>
      </w:pPr>
      <w:r>
        <w:rPr>
          <w:rFonts w:ascii="Arial" w:cs="Arial" w:eastAsia="Arial" w:hAnsi="Arial"/>
          <w:sz w:val="20"/>
          <w:szCs w:val="20"/>
        </w:rPr>
        <w:t xml:space="preserve">MirrorEdge LLC retains absolute, undivided ownership of:</w:t>
      </w:r>
    </w:p>
    <w:p>
      <w:pPr>
        <w:pStyle w:val="ListParagraph"/>
        <w:numPr>
          <w:ilvl w:val="0"/>
          <w:numId w:val="2"/>
        </w:numPr>
        <w:spacing w:after="60" w:before="60"/>
      </w:pPr>
      <w:r>
        <w:rPr>
          <w:rFonts w:ascii="Arial" w:cs="Arial" w:eastAsia="Arial" w:hAnsi="Arial"/>
          <w:sz w:val="20"/>
          <w:szCs w:val="20"/>
        </w:rPr>
        <w:t xml:space="preserve">All foundational and fine-tuned LLM model weights, parameters, and architectures.</w:t>
      </w:r>
    </w:p>
    <w:p>
      <w:pPr>
        <w:pStyle w:val="ListParagraph"/>
        <w:numPr>
          <w:ilvl w:val="0"/>
          <w:numId w:val="2"/>
        </w:numPr>
        <w:spacing w:after="60" w:before="60"/>
      </w:pPr>
      <w:r>
        <w:rPr>
          <w:rFonts w:ascii="Arial" w:cs="Arial" w:eastAsia="Arial" w:hAnsi="Arial"/>
          <w:sz w:val="20"/>
          <w:szCs w:val="20"/>
        </w:rPr>
        <w:t xml:space="preserve">All source code, binary code, APIs, and compiled artifacts of the Services.</w:t>
      </w:r>
    </w:p>
    <w:p>
      <w:pPr>
        <w:pStyle w:val="ListParagraph"/>
        <w:numPr>
          <w:ilvl w:val="0"/>
          <w:numId w:val="2"/>
        </w:numPr>
        <w:spacing w:after="60" w:before="60"/>
      </w:pPr>
      <w:r>
        <w:rPr>
          <w:rFonts w:ascii="Arial" w:cs="Arial" w:eastAsia="Arial" w:hAnsi="Arial"/>
          <w:sz w:val="20"/>
          <w:szCs w:val="20"/>
        </w:rPr>
        <w:t xml:space="preserve">The Industrial Futurism trade dress, including glassmorphism UI elements, energy stripe overlays, corrugated metal textures, HUD-style visualizations, diagonal shadow patterns, and 3D AI renders.</w:t>
      </w:r>
    </w:p>
    <w:p>
      <w:pPr>
        <w:pStyle w:val="ListParagraph"/>
        <w:numPr>
          <w:ilvl w:val="0"/>
          <w:numId w:val="2"/>
        </w:numPr>
        <w:spacing w:after="60" w:before="60"/>
      </w:pPr>
      <w:r>
        <w:rPr>
          <w:rFonts w:ascii="Arial" w:cs="Arial" w:eastAsia="Arial" w:hAnsi="Arial"/>
          <w:sz w:val="20"/>
          <w:szCs w:val="20"/>
        </w:rPr>
        <w:t xml:space="preserve">All branding, trademarks, service marks, and slogans including "MirrorEdge," "Pitcher," "Vault," "MEOP," and "reflect real world problems back, with cutting edge technology!"</w:t>
      </w:r>
    </w:p>
    <w:p>
      <w:pPr>
        <w:pStyle w:val="ListParagraph"/>
        <w:numPr>
          <w:ilvl w:val="0"/>
          <w:numId w:val="2"/>
        </w:numPr>
        <w:spacing w:after="60" w:before="60"/>
      </w:pPr>
      <w:r>
        <w:rPr>
          <w:rFonts w:ascii="Arial" w:cs="Arial" w:eastAsia="Arial" w:hAnsi="Arial"/>
          <w:sz w:val="20"/>
          <w:szCs w:val="20"/>
        </w:rPr>
        <w:t xml:space="preserve">Behavioral Momentum Tracking, Deterministic Verification, Event-Stream Ghosting, Phoneme Pre-Rendering, and Multi-Channel Broadcast Pulse methodologies.</w:t>
      </w:r>
    </w:p>
    <w:p>
      <w:pPr>
        <w:pStyle w:val="Heading2"/>
        <w:spacing w:after="80" w:before="240"/>
      </w:pPr>
      <w:r>
        <w:rPr>
          <w:rFonts w:ascii="Arial" w:cs="Arial" w:eastAsia="Arial" w:hAnsi="Arial"/>
          <w:b/>
          <w:bCs/>
          <w:color w:val="2C2C3E"/>
          <w:sz w:val="24"/>
          <w:szCs w:val="24"/>
        </w:rPr>
        <w:t xml:space="preserve">3.2 The MEOP Trade Secret</w:t>
      </w:r>
    </w:p>
    <w:p>
      <w:pPr>
        <w:spacing w:after="80" w:before="80"/>
        <w:jc w:val="both"/>
      </w:pPr>
      <w:r>
        <w:rPr>
          <w:rFonts w:ascii="Arial" w:cs="Arial" w:eastAsia="Arial" w:hAnsi="Arial"/>
          <w:sz w:val="20"/>
          <w:szCs w:val="20"/>
        </w:rPr>
        <w:t xml:space="preserve">The MirrorEdge Orchestration Protocol (MEOP) — the asynchronous, multi-agent routing and execution logic that drives all Services — is classified as a highly confidential Trade Secret under the Defend Trade Secrets Act (DTSA), 18 U.S.C. § 1836 et seq., and the Arkansas Trade Secrets Act, Ark. Code Ann. § 4-75-601 et seq. MirrorEdge takes active and reasonable measures to maintain the secrecy of MEOP, including but not limited to access restrictions, confidential repository labeling, NDAs, and TEE/SPD encryption. Any misappropriation of MEOP will be pursued to the maximum extent permitted by law, including injunctive relief and damages.</w:t>
      </w:r>
    </w:p>
    <w:p>
      <w:pPr>
        <w:pStyle w:val="Heading2"/>
        <w:spacing w:after="80" w:before="240"/>
      </w:pPr>
      <w:r>
        <w:rPr>
          <w:rFonts w:ascii="Arial" w:cs="Arial" w:eastAsia="Arial" w:hAnsi="Arial"/>
          <w:b/>
          <w:bCs/>
          <w:color w:val="2C2C3E"/>
          <w:sz w:val="24"/>
          <w:szCs w:val="24"/>
        </w:rPr>
        <w:t xml:space="preserve">3.3 Prompt Vault &amp; Trade Secret Strategy</w:t>
      </w:r>
    </w:p>
    <w:p>
      <w:pPr>
        <w:spacing w:after="80" w:before="80"/>
        <w:jc w:val="both"/>
      </w:pPr>
      <w:r>
        <w:rPr>
          <w:rFonts w:ascii="Arial" w:cs="Arial" w:eastAsia="Arial" w:hAnsi="Arial"/>
          <w:sz w:val="20"/>
          <w:szCs w:val="20"/>
        </w:rPr>
        <w:t xml:space="preserve">MirrorEdge AI Prompt Libraries are protected as Trade Secrets. Unlike copyright, trade secret protection is perpetual so long as secrecy is maintained. Client access to Prompt Vault contents is governed by the applicable Machine license and restricted to Client personnel with a demonstrated need to know. Clients must execute a separate NDA as a condition of Prompt Vault access.</w:t>
      </w:r>
    </w:p>
    <w:p>
      <w:pPr>
        <w:pStyle w:val="Heading2"/>
        <w:spacing w:after="80" w:before="240"/>
      </w:pPr>
      <w:r>
        <w:rPr>
          <w:rFonts w:ascii="Arial" w:cs="Arial" w:eastAsia="Arial" w:hAnsi="Arial"/>
          <w:b/>
          <w:bCs/>
          <w:color w:val="2C2C3E"/>
          <w:sz w:val="24"/>
          <w:szCs w:val="24"/>
        </w:rPr>
        <w:t xml:space="preserve">3.4 Anti-Distillation &amp; Reverse Engineering Prohibition</w:t>
      </w:r>
    </w:p>
    <w:p>
      <w:pPr>
        <w:spacing w:after="80" w:before="80"/>
        <w:jc w:val="both"/>
      </w:pPr>
      <w:r>
        <w:rPr>
          <w:rFonts w:ascii="Arial" w:cs="Arial" w:eastAsia="Arial" w:hAnsi="Arial"/>
          <w:sz w:val="20"/>
          <w:szCs w:val="20"/>
        </w:rPr>
        <w:t xml:space="preserve">You are strictly prohibited from, directly or indirectly:</w:t>
      </w:r>
    </w:p>
    <w:p>
      <w:pPr>
        <w:pStyle w:val="ListParagraph"/>
        <w:numPr>
          <w:ilvl w:val="0"/>
          <w:numId w:val="2"/>
        </w:numPr>
        <w:spacing w:after="60" w:before="60"/>
      </w:pPr>
      <w:r>
        <w:rPr>
          <w:rFonts w:ascii="Arial" w:cs="Arial" w:eastAsia="Arial" w:hAnsi="Arial"/>
          <w:sz w:val="20"/>
          <w:szCs w:val="20"/>
        </w:rPr>
        <w:t xml:space="preserve">Reverse engineering, decompiling, or disassembling any MirrorEdge Service or Machine.</w:t>
      </w:r>
    </w:p>
    <w:p>
      <w:pPr>
        <w:pStyle w:val="ListParagraph"/>
        <w:numPr>
          <w:ilvl w:val="0"/>
          <w:numId w:val="2"/>
        </w:numPr>
        <w:spacing w:after="60" w:before="60"/>
      </w:pPr>
      <w:r>
        <w:rPr>
          <w:rFonts w:ascii="Arial" w:cs="Arial" w:eastAsia="Arial" w:hAnsi="Arial"/>
          <w:sz w:val="20"/>
          <w:szCs w:val="20"/>
        </w:rPr>
        <w:t xml:space="preserve">Intercepting, monitoring, or analyzing Application-to-Application (A2A) or RAM-disk interactions within the MEOP execution environment.</w:t>
      </w:r>
    </w:p>
    <w:p>
      <w:pPr>
        <w:pStyle w:val="ListParagraph"/>
        <w:numPr>
          <w:ilvl w:val="0"/>
          <w:numId w:val="2"/>
        </w:numPr>
        <w:spacing w:after="60" w:before="60"/>
      </w:pPr>
      <w:r>
        <w:rPr>
          <w:rFonts w:ascii="Arial" w:cs="Arial" w:eastAsia="Arial" w:hAnsi="Arial"/>
          <w:sz w:val="20"/>
          <w:szCs w:val="20"/>
        </w:rPr>
        <w:t xml:space="preserve">Using Outputs generated by MirrorEdge to train, fine-tune, or distill any competing Large Language Model, AI system, or machine learning model.</w:t>
      </w:r>
    </w:p>
    <w:p>
      <w:pPr>
        <w:pStyle w:val="ListParagraph"/>
        <w:numPr>
          <w:ilvl w:val="0"/>
          <w:numId w:val="2"/>
        </w:numPr>
        <w:spacing w:after="60" w:before="60"/>
      </w:pPr>
      <w:r>
        <w:rPr>
          <w:rFonts w:ascii="Arial" w:cs="Arial" w:eastAsia="Arial" w:hAnsi="Arial"/>
          <w:sz w:val="20"/>
          <w:szCs w:val="20"/>
        </w:rPr>
        <w:t xml:space="preserve">Reproducing, copying, or creating derivative works based on the Industrial Futurism trade dress or any MirrorEdge GUI design patents.</w:t>
      </w:r>
    </w:p>
    <w:p>
      <w:pPr>
        <w:spacing w:after="80" w:before="80"/>
        <w:jc w:val="both"/>
      </w:pPr>
      <w:r>
        <w:rPr>
          <w:rFonts w:ascii="Arial" w:cs="Arial" w:eastAsia="Arial" w:hAnsi="Arial"/>
          <w:sz w:val="20"/>
          <w:szCs w:val="20"/>
        </w:rPr>
        <w:t xml:space="preserve">Violation of this Section 3.4 constitutes a material breach of this Agreement and may give rise to claims under the DTSA, the Computer Fraud and Abuse Act, and applicable copyright law.</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4: AI PROBABILISTIC OUTPUTS, HALLUCINATION DISCLAIMER &amp; HUMAN-IN-THE-LOOP MANDATE</w:t>
      </w:r>
    </w:p>
    <w:p>
      <w:pPr>
        <w:pStyle w:val="Heading2"/>
        <w:spacing w:after="80" w:before="240"/>
      </w:pPr>
      <w:r>
        <w:rPr>
          <w:rFonts w:ascii="Arial" w:cs="Arial" w:eastAsia="Arial" w:hAnsi="Arial"/>
          <w:b/>
          <w:bCs/>
          <w:color w:val="2C2C3E"/>
          <w:sz w:val="24"/>
          <w:szCs w:val="24"/>
        </w:rPr>
        <w:t xml:space="preserve">4.1 Probabilistic Nature of Generative AI</w:t>
      </w:r>
    </w:p>
    <w:p>
      <w:pPr>
        <w:spacing w:after="80" w:before="80"/>
        <w:jc w:val="both"/>
      </w:pPr>
      <w:r>
        <w:rPr>
          <w:rFonts w:ascii="Arial" w:cs="Arial" w:eastAsia="Arial" w:hAnsi="Arial"/>
          <w:sz w:val="20"/>
          <w:szCs w:val="20"/>
        </w:rPr>
        <w:t xml:space="preserve">Generative Artificial Intelligence is fundamentally probabilistic, not deterministic. MirrorEdge makes no warranty — express, implied, or statutory — regarding the absolute factual, legal, medical, financial, structural, or technical accuracy of any AI-generated Output. Outputs may contain errors, omissions, outdated information, or hallucinations (i.e., plausible-sounding but factually incorrect responses).</w:t>
      </w:r>
    </w:p>
    <w:p>
      <w:pPr>
        <w:pStyle w:val="Heading2"/>
        <w:spacing w:after="80" w:before="240"/>
      </w:pPr>
      <w:r>
        <w:rPr>
          <w:rFonts w:ascii="Arial" w:cs="Arial" w:eastAsia="Arial" w:hAnsi="Arial"/>
          <w:b/>
          <w:bCs/>
          <w:color w:val="2C2C3E"/>
          <w:sz w:val="24"/>
          <w:szCs w:val="24"/>
        </w:rPr>
        <w:t xml:space="preserve">4.2 Mandatory Human-in-the-Loop Verification</w:t>
      </w:r>
    </w:p>
    <w:p>
      <w:pPr>
        <w:spacing w:after="80" w:before="80"/>
        <w:jc w:val="both"/>
      </w:pPr>
      <w:r>
        <w:rPr>
          <w:rFonts w:ascii="Arial" w:cs="Arial" w:eastAsia="Arial" w:hAnsi="Arial"/>
          <w:sz w:val="20"/>
          <w:szCs w:val="20"/>
        </w:rPr>
        <w:t xml:space="preserve">The Services are engineered to augment human intelligence, not replace it. By using any MirrorEdge Machine, you legally agree to act as the Human-in-the-Loop. You bear sole and complete responsibility for:</w:t>
      </w:r>
    </w:p>
    <w:p>
      <w:pPr>
        <w:pStyle w:val="ListParagraph"/>
        <w:numPr>
          <w:ilvl w:val="0"/>
          <w:numId w:val="2"/>
        </w:numPr>
        <w:spacing w:after="60" w:before="60"/>
      </w:pPr>
      <w:r>
        <w:rPr>
          <w:rFonts w:ascii="Arial" w:cs="Arial" w:eastAsia="Arial" w:hAnsi="Arial"/>
          <w:sz w:val="20"/>
          <w:szCs w:val="20"/>
        </w:rPr>
        <w:t xml:space="preserve">Reviewing, verifying, and auditing all AI-generated Outputs before applying them to real-world decisions.</w:t>
      </w:r>
    </w:p>
    <w:p>
      <w:pPr>
        <w:pStyle w:val="ListParagraph"/>
        <w:numPr>
          <w:ilvl w:val="0"/>
          <w:numId w:val="2"/>
        </w:numPr>
        <w:spacing w:after="60" w:before="60"/>
      </w:pPr>
      <w:r>
        <w:rPr>
          <w:rFonts w:ascii="Arial" w:cs="Arial" w:eastAsia="Arial" w:hAnsi="Arial"/>
          <w:sz w:val="20"/>
          <w:szCs w:val="20"/>
        </w:rPr>
        <w:t xml:space="preserve">Engaging qualified professionals (licensed physicians, attorneys, engineers, financial advisors, etc.) to review any Output before reliance on it in a regulated field.</w:t>
      </w:r>
    </w:p>
    <w:p>
      <w:pPr>
        <w:pStyle w:val="ListParagraph"/>
        <w:numPr>
          <w:ilvl w:val="0"/>
          <w:numId w:val="2"/>
        </w:numPr>
        <w:spacing w:after="60" w:before="60"/>
      </w:pPr>
      <w:r>
        <w:rPr>
          <w:rFonts w:ascii="Arial" w:cs="Arial" w:eastAsia="Arial" w:hAnsi="Arial"/>
          <w:sz w:val="20"/>
          <w:szCs w:val="20"/>
        </w:rPr>
        <w:t xml:space="preserve">Maintaining appropriate human oversight over any automated or agentic actions triggered by MirrorEdge Outputs.</w:t>
      </w:r>
    </w:p>
    <w:p>
      <w:pPr>
        <w:pStyle w:val="Heading2"/>
        <w:spacing w:after="80" w:before="240"/>
      </w:pPr>
      <w:r>
        <w:rPr>
          <w:rFonts w:ascii="Arial" w:cs="Arial" w:eastAsia="Arial" w:hAnsi="Arial"/>
          <w:b/>
          <w:bCs/>
          <w:color w:val="2C2C3E"/>
          <w:sz w:val="24"/>
          <w:szCs w:val="24"/>
        </w:rPr>
        <w:t xml:space="preserve">4.3 Product-Specific Disclaimers &amp; Liability Exclusions</w:t>
      </w:r>
    </w:p>
    <w:p>
      <w:pPr>
        <w:spacing w:after="80" w:before="80"/>
        <w:jc w:val="left"/>
      </w:pPr>
      <w:r>
        <w:rPr>
          <w:rFonts w:ascii="Arial" w:cs="Arial" w:eastAsia="Arial" w:hAnsi="Arial"/>
          <w:sz w:val="20"/>
          <w:szCs w:val="20"/>
        </w:rPr>
        <w:t xml:space="preserve">The following product-specific disclaimers apply in addition to the general disclaimers above. Reference the Product Matrix in Section 5 for the full listing:</w:t>
      </w:r>
    </w:p>
    <w:p>
      <w:pPr>
        <w:spacing w:after="40" w:before="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00"/>
        <w:gridCol w:w="3660"/>
      </w:tblGrid>
      <w:tr>
        <w:tc>
          <w:tcPr>
            <w:tcW w:type="dxa" w:w="2200"/>
            <w:tcBorders>
              <w:top w:val="single" w:color="DDDDDD" w:sz="1"/>
              <w:left w:val="single" w:color="DDDDDD" w:sz="1"/>
              <w:bottom w:val="single" w:color="DDDDDD" w:sz="1"/>
              <w:right w:val="single" w:color="DDDDDD" w:sz="1"/>
            </w:tcBorders>
            <w:shd w:fill="1A1A2E" w:val="clear"/>
            <w:tcMar>
              <w:top w:type="dxa" w:w="100"/>
              <w:left w:type="dxa" w:w="120"/>
              <w:bottom w:type="dxa" w:w="100"/>
              <w:right w:type="dxa" w:w="120"/>
            </w:tcMar>
          </w:tcPr>
          <w:p>
            <w:r>
              <w:rPr>
                <w:rFonts w:ascii="Arial" w:cs="Arial" w:eastAsia="Arial" w:hAnsi="Arial"/>
                <w:b/>
                <w:bCs/>
                <w:color w:val="FFFFFF"/>
                <w:sz w:val="18"/>
                <w:szCs w:val="18"/>
              </w:rPr>
              <w:t xml:space="preserve">MACHINE</w:t>
            </w:r>
          </w:p>
        </w:tc>
        <w:tc>
          <w:tcPr>
            <w:tcW w:type="dxa" w:w="3500"/>
            <w:tcBorders>
              <w:top w:val="single" w:color="DDDDDD" w:sz="1"/>
              <w:left w:val="single" w:color="DDDDDD" w:sz="1"/>
              <w:bottom w:val="single" w:color="DDDDDD" w:sz="1"/>
              <w:right w:val="single" w:color="DDDDDD" w:sz="1"/>
            </w:tcBorders>
            <w:shd w:fill="1A1A2E" w:val="clear"/>
            <w:tcMar>
              <w:top w:type="dxa" w:w="100"/>
              <w:left w:type="dxa" w:w="120"/>
              <w:bottom w:type="dxa" w:w="100"/>
              <w:right w:type="dxa" w:w="120"/>
            </w:tcMar>
          </w:tcPr>
          <w:p>
            <w:r>
              <w:rPr>
                <w:rFonts w:ascii="Arial" w:cs="Arial" w:eastAsia="Arial" w:hAnsi="Arial"/>
                <w:b/>
                <w:bCs/>
                <w:color w:val="FFFFFF"/>
                <w:sz w:val="18"/>
                <w:szCs w:val="18"/>
              </w:rPr>
              <w:t xml:space="preserve">FUNCTION</w:t>
            </w:r>
          </w:p>
        </w:tc>
        <w:tc>
          <w:tcPr>
            <w:tcW w:type="dxa" w:w="3660"/>
            <w:tcBorders>
              <w:top w:val="single" w:color="DDDDDD" w:sz="1"/>
              <w:left w:val="single" w:color="DDDDDD" w:sz="1"/>
              <w:bottom w:val="single" w:color="DDDDDD" w:sz="1"/>
              <w:right w:val="single" w:color="DDDDDD" w:sz="1"/>
            </w:tcBorders>
            <w:shd w:fill="1A1A2E" w:val="clear"/>
            <w:tcMar>
              <w:top w:type="dxa" w:w="100"/>
              <w:left w:type="dxa" w:w="120"/>
              <w:bottom w:type="dxa" w:w="100"/>
              <w:right w:type="dxa" w:w="120"/>
            </w:tcMar>
          </w:tcPr>
          <w:p>
            <w:r>
              <w:rPr>
                <w:rFonts w:ascii="Arial" w:cs="Arial" w:eastAsia="Arial" w:hAnsi="Arial"/>
                <w:b/>
                <w:bCs/>
                <w:color w:val="FFFFFF"/>
                <w:sz w:val="18"/>
                <w:szCs w:val="18"/>
              </w:rPr>
              <w:t xml:space="preserve">KEY DISCLAIMER</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The Crucible</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Behavioral analysis and cognitive performance coaching environment.</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No raw biometric data is stored. All sensor inputs are reduced to mathematical abstractions and immediately purged from volatile memory.</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Kinetic-Habit Vector</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Motion and habit pattern recognition using Kinetic Mesh Vectors and Acoustic Nano-Tremors.</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No audio (.mp3) or video (.mp4) files are stored or transmitted. Only frequency and coordinate-distance abstractions are processed.</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Med-Vault Diagnostix</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AI-assisted medical drafting, clinical note structuring, and diagnostic information organization.</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NOT a licensed medical device. All outputs require mandatory review and approval by a licensed medical professional. MirrorEdge bears zero liability for clinical decisions.</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Precedent-Ghost</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AI-assisted legal research drafting and case analysis tool.</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NOT a licensed legal service. All outputs require review by a licensed attorney. No attorney-client relationship is created by use of this Machine.</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ACTOPPA-Native Micro-Tutor</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Educational AI tutoring platform designed for use by minors with verified parental consent.</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Zero targeted advertising. Session data purged immediately. Verifiable parental consent required for users under 13. Compliant with ACTOPPA effective July 1, 2026.</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Pitcher</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High-conversion sales outreach and predictive pre-pitch intelligence engine using Behavioral Momentum Tracking.</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Outputs are probabilistic sales signals, not guarantees of conversion. User assumes all reliance risk.</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VIP Alert</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Authority-based signal and notification intelligence system.</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Alert signals are AI-generated and require human review before any action is taken.</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Logistics Ghost</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Invisible supply chain, fulfillment, dropshipping, and white-label automation engine.</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Compliance with carrier, customs, and trade law is the sole responsibility of the Client.</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Yard-Sale Genius</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Local asset liquidation valuation and marketplace optimization tool.</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Valuations are estimates only. MirrorEdge is not liable for losses arising from sale decisions.</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Sight-Unseen Auditor</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AI-driven remote property and asset inspection and verification protocol.</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Not a substitute for physical inspection or licensed appraisal. All outputs require professional verification.</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Event-Sync Butler</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Multi-platform calendar and event coordination intelligence via Event-Stream Ghosting.</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No calendar data is stored in a central database. Data remains at source systems; the UI acts as a mirror only.</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Sky-Watcher Compliance</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Real-time aerospace and drone regulation compliance intelligence.</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Regulatory data may lag official updates. Client bears sole responsibility for FAA and local regulatory compliance.</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Digital Decorator</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AI-powered Industrial Futurism brand styling and design automation tool.</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Generated brand assets are licensed for Client use only. MirrorEdge retains ownership of all underlying design models.</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Prompt Vault</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TEE-encrypted, trade-secret-protected proprietary prompt library for enterprise AI workflows.</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Prompt libraries are classified as trade secrets. Any attempt to extract, reverse-engineer, or share Vault contents is a material breach.</w:t>
            </w:r>
          </w:p>
        </w:tc>
      </w:tr>
      <w:tr>
        <w:tc>
          <w:tcPr>
            <w:tcW w:type="dxa" w:w="2200"/>
            <w:tcBorders>
              <w:top w:val="single" w:color="DDDDDD" w:sz="1"/>
              <w:left w:val="single" w:color="DDDDDD" w:sz="1"/>
              <w:bottom w:val="single" w:color="DDDDDD" w:sz="1"/>
              <w:right w:val="single" w:color="DDDDDD" w:sz="1"/>
            </w:tcBorders>
            <w:shd w:fill="EEF2F7" w:val="clear"/>
            <w:tcMar>
              <w:top w:type="dxa" w:w="80"/>
              <w:left w:type="dxa" w:w="120"/>
              <w:bottom w:type="dxa" w:w="80"/>
              <w:right w:type="dxa" w:w="120"/>
            </w:tcMar>
          </w:tcPr>
          <w:p>
            <w:r>
              <w:rPr>
                <w:rFonts w:ascii="Arial" w:cs="Arial" w:eastAsia="Arial" w:hAnsi="Arial"/>
                <w:b/>
                <w:bCs/>
                <w:color w:val="1A1A2E"/>
                <w:sz w:val="18"/>
                <w:szCs w:val="18"/>
              </w:rPr>
              <w:t xml:space="preserve">UI Kit</w:t>
            </w:r>
          </w:p>
        </w:tc>
        <w:tc>
          <w:tcPr>
            <w:tcW w:type="dxa" w:w="350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sz w:val="18"/>
                <w:szCs w:val="18"/>
              </w:rPr>
              <w:t xml:space="preserve">High-end Industrial Futurism design asset class including React/Vue component libraries.</w:t>
            </w:r>
          </w:p>
        </w:tc>
        <w:tc>
          <w:tcPr>
            <w:tcW w:type="dxa" w:w="3660"/>
            <w:tcBorders>
              <w:top w:val="single" w:color="DDDDDD" w:sz="1"/>
              <w:left w:val="single" w:color="DDDDDD" w:sz="1"/>
              <w:bottom w:val="single" w:color="DDDDDD" w:sz="1"/>
              <w:right w:val="single" w:color="DDDDDD" w:sz="1"/>
            </w:tcBorders>
            <w:tcMar>
              <w:top w:type="dxa" w:w="80"/>
              <w:left w:type="dxa" w:w="120"/>
              <w:bottom w:type="dxa" w:w="80"/>
              <w:right w:type="dxa" w:w="120"/>
            </w:tcMar>
          </w:tcPr>
          <w:p>
            <w:r>
              <w:rPr>
                <w:rFonts w:ascii="Arial" w:cs="Arial" w:eastAsia="Arial" w:hAnsi="Arial"/>
                <w:i/>
                <w:iCs/>
                <w:sz w:val="18"/>
                <w:szCs w:val="18"/>
              </w:rPr>
              <w:t xml:space="preserve">Licensed under a tiered model (Standard / Pro / Team). Unauthorized redistribution constitutes copyright infringement.</w:t>
            </w:r>
          </w:p>
        </w:tc>
      </w:tr>
    </w:tbl>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5: ACCEPTABLE USE POLICY (AUP)</w:t>
      </w:r>
    </w:p>
    <w:p>
      <w:pPr>
        <w:spacing w:after="80" w:before="80"/>
        <w:jc w:val="both"/>
      </w:pPr>
      <w:r>
        <w:rPr>
          <w:rFonts w:ascii="Arial" w:cs="Arial" w:eastAsia="Arial" w:hAnsi="Arial"/>
          <w:sz w:val="20"/>
          <w:szCs w:val="20"/>
        </w:rPr>
        <w:t xml:space="preserve">You agree to use the Services only for lawful, good-faith business purposes. The following uses are expressly prohibited:</w:t>
      </w:r>
    </w:p>
    <w:p>
      <w:pPr>
        <w:pStyle w:val="Heading2"/>
        <w:spacing w:after="80" w:before="240"/>
      </w:pPr>
      <w:r>
        <w:rPr>
          <w:rFonts w:ascii="Arial" w:cs="Arial" w:eastAsia="Arial" w:hAnsi="Arial"/>
          <w:b/>
          <w:bCs/>
          <w:color w:val="2C2C3E"/>
          <w:sz w:val="24"/>
          <w:szCs w:val="24"/>
        </w:rPr>
        <w:t xml:space="preserve">5.1 Prohibited Uses</w:t>
      </w:r>
    </w:p>
    <w:p>
      <w:pPr>
        <w:pStyle w:val="ListParagraph"/>
        <w:numPr>
          <w:ilvl w:val="0"/>
          <w:numId w:val="2"/>
        </w:numPr>
        <w:spacing w:after="60" w:before="60"/>
      </w:pPr>
      <w:r>
        <w:rPr>
          <w:rFonts w:ascii="Arial" w:cs="Arial" w:eastAsia="Arial" w:hAnsi="Arial"/>
          <w:sz w:val="20"/>
          <w:szCs w:val="20"/>
        </w:rPr>
        <w:t xml:space="preserve">Using any Machine to generate, transmit, or store content that is illegal, defamatory, harassing, threatening, fraudulent, or that infringes the intellectual property rights of any third party.</w:t>
      </w:r>
    </w:p>
    <w:p>
      <w:pPr>
        <w:pStyle w:val="ListParagraph"/>
        <w:numPr>
          <w:ilvl w:val="0"/>
          <w:numId w:val="2"/>
        </w:numPr>
        <w:spacing w:after="60" w:before="60"/>
      </w:pPr>
      <w:r>
        <w:rPr>
          <w:rFonts w:ascii="Arial" w:cs="Arial" w:eastAsia="Arial" w:hAnsi="Arial"/>
          <w:sz w:val="20"/>
          <w:szCs w:val="20"/>
        </w:rPr>
        <w:t xml:space="preserve">Attempting to use Outputs as a substitute for licensed medical, legal, or financial advice without qualified professional review.</w:t>
      </w:r>
    </w:p>
    <w:p>
      <w:pPr>
        <w:pStyle w:val="ListParagraph"/>
        <w:numPr>
          <w:ilvl w:val="0"/>
          <w:numId w:val="2"/>
        </w:numPr>
        <w:spacing w:after="60" w:before="60"/>
      </w:pPr>
      <w:r>
        <w:rPr>
          <w:rFonts w:ascii="Arial" w:cs="Arial" w:eastAsia="Arial" w:hAnsi="Arial"/>
          <w:sz w:val="20"/>
          <w:szCs w:val="20"/>
        </w:rPr>
        <w:t xml:space="preserve">Deploying any Machine to engage in targeted harassment, discrimination, or profiling based on protected characteristics.</w:t>
      </w:r>
    </w:p>
    <w:p>
      <w:pPr>
        <w:pStyle w:val="ListParagraph"/>
        <w:numPr>
          <w:ilvl w:val="0"/>
          <w:numId w:val="2"/>
        </w:numPr>
        <w:spacing w:after="60" w:before="60"/>
      </w:pPr>
      <w:r>
        <w:rPr>
          <w:rFonts w:ascii="Arial" w:cs="Arial" w:eastAsia="Arial" w:hAnsi="Arial"/>
          <w:sz w:val="20"/>
          <w:szCs w:val="20"/>
        </w:rPr>
        <w:t xml:space="preserve">Using the Services to develop, deploy, or assist autonomous weapons systems, malware, cyberattack tools, or any system designed to cause physical harm.</w:t>
      </w:r>
    </w:p>
    <w:p>
      <w:pPr>
        <w:pStyle w:val="ListParagraph"/>
        <w:numPr>
          <w:ilvl w:val="0"/>
          <w:numId w:val="2"/>
        </w:numPr>
        <w:spacing w:after="60" w:before="60"/>
      </w:pPr>
      <w:r>
        <w:rPr>
          <w:rFonts w:ascii="Arial" w:cs="Arial" w:eastAsia="Arial" w:hAnsi="Arial"/>
          <w:sz w:val="20"/>
          <w:szCs w:val="20"/>
        </w:rPr>
        <w:t xml:space="preserve">Using the Services to collect, process, or store data on Minor users without complying with ACTOPPA (Ark. Code Ann. § 4-88-1401 et seq.) and all applicable privacy laws.</w:t>
      </w:r>
    </w:p>
    <w:p>
      <w:pPr>
        <w:pStyle w:val="ListParagraph"/>
        <w:numPr>
          <w:ilvl w:val="0"/>
          <w:numId w:val="2"/>
        </w:numPr>
        <w:spacing w:after="60" w:before="60"/>
      </w:pPr>
      <w:r>
        <w:rPr>
          <w:rFonts w:ascii="Arial" w:cs="Arial" w:eastAsia="Arial" w:hAnsi="Arial"/>
          <w:sz w:val="20"/>
          <w:szCs w:val="20"/>
        </w:rPr>
        <w:t xml:space="preserve">Attempting to extract, reconstruct, or misappropriate the MEOP Trade Secret or any component of a Prompt Vault.</w:t>
      </w:r>
    </w:p>
    <w:p>
      <w:pPr>
        <w:pStyle w:val="ListParagraph"/>
        <w:numPr>
          <w:ilvl w:val="0"/>
          <w:numId w:val="2"/>
        </w:numPr>
        <w:spacing w:after="60" w:before="60"/>
      </w:pPr>
      <w:r>
        <w:rPr>
          <w:rFonts w:ascii="Arial" w:cs="Arial" w:eastAsia="Arial" w:hAnsi="Arial"/>
          <w:sz w:val="20"/>
          <w:szCs w:val="20"/>
        </w:rPr>
        <w:t xml:space="preserve">Sublicensing, reselling, or redistributing MirrorEdge Services without a separate written reseller agreement.</w:t>
      </w:r>
    </w:p>
    <w:p>
      <w:pPr>
        <w:pStyle w:val="ListParagraph"/>
        <w:numPr>
          <w:ilvl w:val="0"/>
          <w:numId w:val="2"/>
        </w:numPr>
        <w:spacing w:after="60" w:before="60"/>
      </w:pPr>
      <w:r>
        <w:rPr>
          <w:rFonts w:ascii="Arial" w:cs="Arial" w:eastAsia="Arial" w:hAnsi="Arial"/>
          <w:sz w:val="20"/>
          <w:szCs w:val="20"/>
        </w:rPr>
        <w:t xml:space="preserve">Circumventing any technical access controls, license key mechanisms, TEE/SPD safeguards, or cryptographic protections.</w:t>
      </w:r>
    </w:p>
    <w:p>
      <w:pPr>
        <w:pStyle w:val="Heading2"/>
        <w:spacing w:after="80" w:before="240"/>
      </w:pPr>
      <w:r>
        <w:rPr>
          <w:rFonts w:ascii="Arial" w:cs="Arial" w:eastAsia="Arial" w:hAnsi="Arial"/>
          <w:b/>
          <w:bCs/>
          <w:color w:val="2C2C3E"/>
          <w:sz w:val="24"/>
          <w:szCs w:val="24"/>
        </w:rPr>
        <w:t xml:space="preserve">5.2 Enforcement</w:t>
      </w:r>
    </w:p>
    <w:p>
      <w:pPr>
        <w:spacing w:after="80" w:before="80"/>
        <w:jc w:val="both"/>
      </w:pPr>
      <w:r>
        <w:rPr>
          <w:rFonts w:ascii="Arial" w:cs="Arial" w:eastAsia="Arial" w:hAnsi="Arial"/>
          <w:sz w:val="20"/>
          <w:szCs w:val="20"/>
        </w:rPr>
        <w:t xml:space="preserve">MirrorEdge reserves the right to suspend or terminate access, with or without notice, upon reasonable belief that a violation of this AUP has occurred. Termination for AUP violations does not entitle the Client to a refund.</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6: ACTOPPA COMPLIANCE, MINOR SAFETY &amp; AGE RESTRICTIONS</w:t>
      </w:r>
    </w:p>
    <w:p>
      <w:pPr>
        <w:spacing w:after="80" w:before="80"/>
        <w:jc w:val="both"/>
      </w:pPr>
      <w:r>
        <w:rPr>
          <w:rFonts w:ascii="Arial" w:cs="Arial" w:eastAsia="Arial" w:hAnsi="Arial"/>
          <w:sz w:val="20"/>
          <w:szCs w:val="20"/>
        </w:rPr>
        <w:t xml:space="preserve">MirrorEdge LLC is committed to full compliance with the Arkansas Children and Teens' Online Privacy Protection Act (ACTOPPA), effective July 1, 2026, and all analogous federal and state privacy laws applicable to Minor users.</w:t>
      </w:r>
    </w:p>
    <w:p>
      <w:pPr>
        <w:pStyle w:val="Heading2"/>
        <w:spacing w:after="80" w:before="240"/>
      </w:pPr>
      <w:r>
        <w:rPr>
          <w:rFonts w:ascii="Arial" w:cs="Arial" w:eastAsia="Arial" w:hAnsi="Arial"/>
          <w:b/>
          <w:bCs/>
          <w:color w:val="2C2C3E"/>
          <w:sz w:val="24"/>
          <w:szCs w:val="24"/>
        </w:rPr>
        <w:t xml:space="preserve">6.1 Age Restriction — General Enterprise Services</w:t>
      </w:r>
    </w:p>
    <w:p>
      <w:pPr>
        <w:spacing w:after="80" w:before="80"/>
        <w:jc w:val="both"/>
      </w:pPr>
      <w:r>
        <w:rPr>
          <w:rFonts w:ascii="Arial" w:cs="Arial" w:eastAsia="Arial" w:hAnsi="Arial"/>
          <w:sz w:val="20"/>
          <w:szCs w:val="20"/>
        </w:rPr>
        <w:t xml:space="preserve">All MirrorEdge enterprise Machines — including but not limited to Pitcher, VIP Alert, Logistics Ghost, Sight-Unseen Auditor, Event-Sync Butler, Sky-Watcher Compliance, Digital Decorator, Prompt Vault, The Crucible, and Med-Vault Diagnostix — are restricted to individuals 18 years of age or older. By accessing these Machines, you represent and warrant that you are at least 18 years of age.</w:t>
      </w:r>
    </w:p>
    <w:p>
      <w:pPr>
        <w:pStyle w:val="Heading2"/>
        <w:spacing w:after="80" w:before="240"/>
      </w:pPr>
      <w:r>
        <w:rPr>
          <w:rFonts w:ascii="Arial" w:cs="Arial" w:eastAsia="Arial" w:hAnsi="Arial"/>
          <w:b/>
          <w:bCs/>
          <w:color w:val="2C2C3E"/>
          <w:sz w:val="24"/>
          <w:szCs w:val="24"/>
        </w:rPr>
        <w:t xml:space="preserve">6.2 ACTOPPA-Native Micro-Tutor — Designated Minor-Safe Product</w:t>
      </w:r>
    </w:p>
    <w:p>
      <w:pPr>
        <w:spacing w:after="80" w:before="80"/>
        <w:jc w:val="both"/>
      </w:pPr>
      <w:r>
        <w:rPr>
          <w:rFonts w:ascii="Arial" w:cs="Arial" w:eastAsia="Arial" w:hAnsi="Arial"/>
          <w:sz w:val="20"/>
          <w:szCs w:val="20"/>
        </w:rPr>
        <w:t xml:space="preserve">The ACTOPPA-Native Micro-Tutor is specifically designed and designated for use by Minor users in compliance with ACTOPPA. The following safeguards apply unconditionally:</w:t>
      </w:r>
    </w:p>
    <w:p>
      <w:pPr>
        <w:pStyle w:val="ListParagraph"/>
        <w:numPr>
          <w:ilvl w:val="0"/>
          <w:numId w:val="2"/>
        </w:numPr>
        <w:spacing w:after="60" w:before="60"/>
      </w:pPr>
      <w:r>
        <w:rPr>
          <w:rFonts w:ascii="Arial" w:cs="Arial" w:eastAsia="Arial" w:hAnsi="Arial"/>
          <w:sz w:val="20"/>
          <w:szCs w:val="20"/>
        </w:rPr>
        <w:t xml:space="preserve">Zero targeted advertising of any kind directed at any Minor user.</w:t>
      </w:r>
    </w:p>
    <w:p>
      <w:pPr>
        <w:pStyle w:val="ListParagraph"/>
        <w:numPr>
          <w:ilvl w:val="0"/>
          <w:numId w:val="2"/>
        </w:numPr>
        <w:spacing w:after="60" w:before="60"/>
      </w:pPr>
      <w:r>
        <w:rPr>
          <w:rFonts w:ascii="Arial" w:cs="Arial" w:eastAsia="Arial" w:hAnsi="Arial"/>
          <w:sz w:val="20"/>
          <w:szCs w:val="20"/>
        </w:rPr>
        <w:t xml:space="preserve">Immediate session-data purging upon session termination.</w:t>
      </w:r>
    </w:p>
    <w:p>
      <w:pPr>
        <w:pStyle w:val="ListParagraph"/>
        <w:numPr>
          <w:ilvl w:val="0"/>
          <w:numId w:val="2"/>
        </w:numPr>
        <w:spacing w:after="60" w:before="60"/>
      </w:pPr>
      <w:r>
        <w:rPr>
          <w:rFonts w:ascii="Arial" w:cs="Arial" w:eastAsia="Arial" w:hAnsi="Arial"/>
          <w:sz w:val="20"/>
          <w:szCs w:val="20"/>
        </w:rPr>
        <w:t xml:space="preserve">Verifiable parental consent, cryptographically established, is required prior to access by any user under 13 years of age.</w:t>
      </w:r>
    </w:p>
    <w:p>
      <w:pPr>
        <w:pStyle w:val="ListParagraph"/>
        <w:numPr>
          <w:ilvl w:val="0"/>
          <w:numId w:val="2"/>
        </w:numPr>
        <w:spacing w:after="60" w:before="60"/>
      </w:pPr>
      <w:r>
        <w:rPr>
          <w:rFonts w:ascii="Arial" w:cs="Arial" w:eastAsia="Arial" w:hAnsi="Arial"/>
          <w:sz w:val="20"/>
          <w:szCs w:val="20"/>
        </w:rPr>
        <w:t xml:space="preserve">No behavioral profiling, cross-context tracking, or data monetization of Minor users.</w:t>
      </w:r>
    </w:p>
    <w:p>
      <w:pPr>
        <w:pStyle w:val="ListParagraph"/>
        <w:numPr>
          <w:ilvl w:val="0"/>
          <w:numId w:val="2"/>
        </w:numPr>
        <w:spacing w:after="60" w:before="60"/>
      </w:pPr>
      <w:r>
        <w:rPr>
          <w:rFonts w:ascii="Arial" w:cs="Arial" w:eastAsia="Arial" w:hAnsi="Arial"/>
          <w:sz w:val="20"/>
          <w:szCs w:val="20"/>
        </w:rPr>
        <w:t xml:space="preserve">ACTOPPA scope: applies to users under 17 in Arkansas; MirrorEdge applies these protections globally for all users under 18.</w:t>
      </w:r>
    </w:p>
    <w:p>
      <w:pPr>
        <w:pStyle w:val="Heading2"/>
        <w:spacing w:after="80" w:before="240"/>
      </w:pPr>
      <w:r>
        <w:rPr>
          <w:rFonts w:ascii="Arial" w:cs="Arial" w:eastAsia="Arial" w:hAnsi="Arial"/>
          <w:b/>
          <w:bCs/>
          <w:color w:val="2C2C3E"/>
          <w:sz w:val="24"/>
          <w:szCs w:val="24"/>
        </w:rPr>
        <w:t xml:space="preserve">6.3 Client Responsibility for Minor User Exposure</w:t>
      </w:r>
    </w:p>
    <w:p>
      <w:pPr>
        <w:spacing w:after="80" w:before="80"/>
        <w:jc w:val="both"/>
      </w:pPr>
      <w:r>
        <w:rPr>
          <w:rFonts w:ascii="Arial" w:cs="Arial" w:eastAsia="Arial" w:hAnsi="Arial"/>
          <w:sz w:val="20"/>
          <w:szCs w:val="20"/>
        </w:rPr>
        <w:t xml:space="preserve">Clients who deploy or resell any MirrorEdge Machine in a context where Minor users may foreseeably access the Service are solely responsible for implementing age-verification, parental consent, and data protection controls appropriate to applicable law. MirrorEdge will not be held liable for a Client's failure to restrict Minor access to non-designated products.</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7: INDEMNIFICATION</w:t>
      </w:r>
    </w:p>
    <w:p>
      <w:pPr>
        <w:pStyle w:val="Heading2"/>
        <w:spacing w:after="80" w:before="240"/>
      </w:pPr>
      <w:r>
        <w:rPr>
          <w:rFonts w:ascii="Arial" w:cs="Arial" w:eastAsia="Arial" w:hAnsi="Arial"/>
          <w:b/>
          <w:bCs/>
          <w:color w:val="2C2C3E"/>
          <w:sz w:val="24"/>
          <w:szCs w:val="24"/>
        </w:rPr>
        <w:t xml:space="preserve">7.1 Client Indemnification of MirrorEdge</w:t>
      </w:r>
    </w:p>
    <w:p>
      <w:pPr>
        <w:spacing w:after="80" w:before="80"/>
        <w:jc w:val="both"/>
      </w:pPr>
      <w:r>
        <w:rPr>
          <w:rFonts w:ascii="Arial" w:cs="Arial" w:eastAsia="Arial" w:hAnsi="Arial"/>
          <w:sz w:val="20"/>
          <w:szCs w:val="20"/>
        </w:rPr>
        <w:t xml:space="preserve">You agree to defend, indemnify, and hold harmless MirrorEdge LLC, its members, managers, officers, employees, agents, contractors, and successors from and against any and all claims, damages, liabilities, costs, and expenses (including reasonable attorneys' fees) arising out of or related to:</w:t>
      </w:r>
    </w:p>
    <w:p>
      <w:pPr>
        <w:pStyle w:val="ListParagraph"/>
        <w:numPr>
          <w:ilvl w:val="0"/>
          <w:numId w:val="2"/>
        </w:numPr>
        <w:spacing w:after="60" w:before="60"/>
      </w:pPr>
      <w:r>
        <w:rPr>
          <w:rFonts w:ascii="Arial" w:cs="Arial" w:eastAsia="Arial" w:hAnsi="Arial"/>
          <w:sz w:val="20"/>
          <w:szCs w:val="20"/>
        </w:rPr>
        <w:t xml:space="preserve">Your use of any MirrorEdge Machine or Output in violation of this Agreement.</w:t>
      </w:r>
    </w:p>
    <w:p>
      <w:pPr>
        <w:pStyle w:val="ListParagraph"/>
        <w:numPr>
          <w:ilvl w:val="0"/>
          <w:numId w:val="2"/>
        </w:numPr>
        <w:spacing w:after="60" w:before="60"/>
      </w:pPr>
      <w:r>
        <w:rPr>
          <w:rFonts w:ascii="Arial" w:cs="Arial" w:eastAsia="Arial" w:hAnsi="Arial"/>
          <w:sz w:val="20"/>
          <w:szCs w:val="20"/>
        </w:rPr>
        <w:t xml:space="preserve">Your failure to engage qualified professionals to review Outputs before reliance in regulated fields (medical, legal, financial, structural, aerospace).</w:t>
      </w:r>
    </w:p>
    <w:p>
      <w:pPr>
        <w:pStyle w:val="ListParagraph"/>
        <w:numPr>
          <w:ilvl w:val="0"/>
          <w:numId w:val="2"/>
        </w:numPr>
        <w:spacing w:after="60" w:before="60"/>
      </w:pPr>
      <w:r>
        <w:rPr>
          <w:rFonts w:ascii="Arial" w:cs="Arial" w:eastAsia="Arial" w:hAnsi="Arial"/>
          <w:sz w:val="20"/>
          <w:szCs w:val="20"/>
        </w:rPr>
        <w:t xml:space="preserve">Your violation of any third-party rights, including intellectual property rights, privacy rights, or contractual rights.</w:t>
      </w:r>
    </w:p>
    <w:p>
      <w:pPr>
        <w:pStyle w:val="ListParagraph"/>
        <w:numPr>
          <w:ilvl w:val="0"/>
          <w:numId w:val="2"/>
        </w:numPr>
        <w:spacing w:after="60" w:before="60"/>
      </w:pPr>
      <w:r>
        <w:rPr>
          <w:rFonts w:ascii="Arial" w:cs="Arial" w:eastAsia="Arial" w:hAnsi="Arial"/>
          <w:sz w:val="20"/>
          <w:szCs w:val="20"/>
        </w:rPr>
        <w:t xml:space="preserve">Your violation of the Acceptable Use Policy (Section 5).</w:t>
      </w:r>
    </w:p>
    <w:p>
      <w:pPr>
        <w:pStyle w:val="ListParagraph"/>
        <w:numPr>
          <w:ilvl w:val="0"/>
          <w:numId w:val="2"/>
        </w:numPr>
        <w:spacing w:after="60" w:before="60"/>
      </w:pPr>
      <w:r>
        <w:rPr>
          <w:rFonts w:ascii="Arial" w:cs="Arial" w:eastAsia="Arial" w:hAnsi="Arial"/>
          <w:sz w:val="20"/>
          <w:szCs w:val="20"/>
        </w:rPr>
        <w:t xml:space="preserve">Your failure to comply with ACTOPPA or any applicable privacy law regarding Minor users.</w:t>
      </w:r>
    </w:p>
    <w:p>
      <w:pPr>
        <w:pStyle w:val="ListParagraph"/>
        <w:numPr>
          <w:ilvl w:val="0"/>
          <w:numId w:val="2"/>
        </w:numPr>
        <w:spacing w:after="60" w:before="60"/>
      </w:pPr>
      <w:r>
        <w:rPr>
          <w:rFonts w:ascii="Arial" w:cs="Arial" w:eastAsia="Arial" w:hAnsi="Arial"/>
          <w:sz w:val="20"/>
          <w:szCs w:val="20"/>
        </w:rPr>
        <w:t xml:space="preserve">Any claim brought against MirrorEdge by a third party arising from your deployment, distribution, or resale of the Services.</w:t>
      </w:r>
    </w:p>
    <w:p>
      <w:pPr>
        <w:pStyle w:val="Heading2"/>
        <w:spacing w:after="80" w:before="240"/>
      </w:pPr>
      <w:r>
        <w:rPr>
          <w:rFonts w:ascii="Arial" w:cs="Arial" w:eastAsia="Arial" w:hAnsi="Arial"/>
          <w:b/>
          <w:bCs/>
          <w:color w:val="2C2C3E"/>
          <w:sz w:val="24"/>
          <w:szCs w:val="24"/>
        </w:rPr>
        <w:t xml:space="preserve">7.2 MirrorEdge Indemnification of Client</w:t>
      </w:r>
    </w:p>
    <w:p>
      <w:pPr>
        <w:spacing w:after="80" w:before="80"/>
        <w:jc w:val="both"/>
      </w:pPr>
      <w:r>
        <w:rPr>
          <w:rFonts w:ascii="Arial" w:cs="Arial" w:eastAsia="Arial" w:hAnsi="Arial"/>
          <w:sz w:val="20"/>
          <w:szCs w:val="20"/>
        </w:rPr>
        <w:t xml:space="preserve">MirrorEdge will defend and indemnify you against any third-party claim that the core MirrorEdge platform software, as delivered and unmodified, infringes a valid U.S. patent or copyright, provided that you: (a) promptly notify MirrorEdge in writing of the claim; (b) grant MirrorEdge sole control of the defense and settlement; and (c) provide reasonable cooperation. This indemnity does not apply to claims arising from your customization, combination, or modification of the Services.</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8: LIMITATION OF LIABILITY (THE BLAST SHIELD)</w:t>
      </w:r>
    </w:p>
    <w:p>
      <w:pPr>
        <w:pStyle w:val="Heading2"/>
        <w:spacing w:after="80" w:before="240"/>
      </w:pPr>
      <w:r>
        <w:rPr>
          <w:rFonts w:ascii="Arial" w:cs="Arial" w:eastAsia="Arial" w:hAnsi="Arial"/>
          <w:b/>
          <w:bCs/>
          <w:color w:val="2C2C3E"/>
          <w:sz w:val="24"/>
          <w:szCs w:val="24"/>
        </w:rPr>
        <w:t xml:space="preserve">8.1 Absolute Liability Cap</w:t>
      </w:r>
    </w:p>
    <w:p>
      <w:pPr>
        <w:spacing w:after="80" w:before="80"/>
        <w:jc w:val="both"/>
      </w:pPr>
      <w:r>
        <w:rPr>
          <w:rFonts w:ascii="Arial" w:cs="Arial" w:eastAsia="Arial" w:hAnsi="Arial"/>
          <w:sz w:val="20"/>
          <w:szCs w:val="20"/>
        </w:rPr>
        <w:t xml:space="preserve">TO THE MAXIMUM EXTENT PERMITTED BY APPLICABLE LAW, MIRROREDGE LLC'S TOTAL AGGREGATE LIABILITY ARISING OUT OF OR RELATED TO THIS AGREEMENT — WHETHER IN CONTRACT, TORT, NEGLIGENCE, STRICT LIABILITY, OR OTHERWISE — SHALL NOT EXCEED THE GREATER OF: (A) THE TOTAL FEES PAID BY CLIENT TO MIRROREDGE IN THE THREE (3) MONTHS PRECEDING THE EVENT GIVING RISE TO THE CLAIM; OR (B) FIVE HUNDRED U.S. DOLLARS ($500.00).</w:t>
      </w:r>
    </w:p>
    <w:p>
      <w:pPr>
        <w:pStyle w:val="Heading2"/>
        <w:spacing w:after="80" w:before="240"/>
      </w:pPr>
      <w:r>
        <w:rPr>
          <w:rFonts w:ascii="Arial" w:cs="Arial" w:eastAsia="Arial" w:hAnsi="Arial"/>
          <w:b/>
          <w:bCs/>
          <w:color w:val="2C2C3E"/>
          <w:sz w:val="24"/>
          <w:szCs w:val="24"/>
        </w:rPr>
        <w:t xml:space="preserve">8.2 Exclusion of Consequential Damages</w:t>
      </w:r>
    </w:p>
    <w:p>
      <w:pPr>
        <w:spacing w:after="80" w:before="80"/>
        <w:jc w:val="both"/>
      </w:pPr>
      <w:r>
        <w:rPr>
          <w:rFonts w:ascii="Arial" w:cs="Arial" w:eastAsia="Arial" w:hAnsi="Arial"/>
          <w:sz w:val="20"/>
          <w:szCs w:val="20"/>
        </w:rPr>
        <w:t xml:space="preserve">UNDER NO CIRCUMSTANCES SHALL MIRROREDGE LLC BE LIABLE FOR ANY INDIRECT, INCIDENTAL, SPECIAL, EXEMPLARY, PUNITIVE, OR CONSEQUENTIAL DAMAGES, INCLUDING BUT NOT LIMITED TO: LOST PROFITS, LOSS OF REVENUE, LOSS OF DATA, BUSINESS INTERRUPTION, MEDICAL MALPRACTICE CLAIMS, CLINICAL ADVERSE EVENTS, STRUCTURAL ENGINEERING FAILURES, LEGAL MALPRACTICE CLAIMS, AEROSPACE REGULATORY VIOLATIONS, OR ANY DAMAGES RESULTING FROM AI HALLUCINATIONS, AUTONOMOUS ERRORS, OR THE CLIENT'S FAILURE TO APPLY HUMAN-IN-THE-LOOP VERIFICATION TO OUTPUTS.</w:t>
      </w:r>
    </w:p>
    <w:p>
      <w:pPr>
        <w:pStyle w:val="Heading2"/>
        <w:spacing w:after="80" w:before="240"/>
      </w:pPr>
      <w:r>
        <w:rPr>
          <w:rFonts w:ascii="Arial" w:cs="Arial" w:eastAsia="Arial" w:hAnsi="Arial"/>
          <w:b/>
          <w:bCs/>
          <w:color w:val="2C2C3E"/>
          <w:sz w:val="24"/>
          <w:szCs w:val="24"/>
        </w:rPr>
        <w:t xml:space="preserve">8.3 Med-Vault Diagnostix &amp; Precedent-Ghost — Enhanced Disclaimer</w:t>
      </w:r>
    </w:p>
    <w:p>
      <w:pPr>
        <w:spacing w:after="80" w:before="80"/>
        <w:jc w:val="both"/>
      </w:pPr>
      <w:r>
        <w:rPr>
          <w:rFonts w:ascii="Arial" w:cs="Arial" w:eastAsia="Arial" w:hAnsi="Arial"/>
          <w:sz w:val="20"/>
          <w:szCs w:val="20"/>
        </w:rPr>
        <w:t xml:space="preserve">Clients using Med-Vault Diagnostix or Precedent-Ghost are required to execute a separate Product Addendum prior to deployment. This Addendum contains enhanced disclaimers, professional-use verification requirements, and additional indemnification provisions specific to medical and legal AI tools. Failure to execute the required Addendum prior to deployment constitutes an unauthorized use and a material breach of this Agreement.</w:t>
      </w:r>
    </w:p>
    <w:p>
      <w:pPr>
        <w:pStyle w:val="Heading2"/>
        <w:spacing w:after="80" w:before="240"/>
      </w:pPr>
      <w:r>
        <w:rPr>
          <w:rFonts w:ascii="Arial" w:cs="Arial" w:eastAsia="Arial" w:hAnsi="Arial"/>
          <w:b/>
          <w:bCs/>
          <w:color w:val="2C2C3E"/>
          <w:sz w:val="24"/>
          <w:szCs w:val="24"/>
        </w:rPr>
        <w:t xml:space="preserve">8.4 Essential Basis</w:t>
      </w:r>
    </w:p>
    <w:p>
      <w:pPr>
        <w:spacing w:after="80" w:before="80"/>
        <w:jc w:val="both"/>
      </w:pPr>
      <w:r>
        <w:rPr>
          <w:rFonts w:ascii="Arial" w:cs="Arial" w:eastAsia="Arial" w:hAnsi="Arial"/>
          <w:sz w:val="20"/>
          <w:szCs w:val="20"/>
        </w:rPr>
        <w:t xml:space="preserve">The parties acknowledge that the limitations of liability set forth in this Section 8 reflect a reasonable and negotiated allocation of risk and form an essential basis of the bargain between the parties. MirrorEdge would not provide the Services on the terms herein absent these limitations.</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9: TERM, TERMINATION &amp; SUSPENSION</w:t>
      </w:r>
    </w:p>
    <w:p>
      <w:pPr>
        <w:pStyle w:val="Heading2"/>
        <w:spacing w:after="80" w:before="240"/>
      </w:pPr>
      <w:r>
        <w:rPr>
          <w:rFonts w:ascii="Arial" w:cs="Arial" w:eastAsia="Arial" w:hAnsi="Arial"/>
          <w:b/>
          <w:bCs/>
          <w:color w:val="2C2C3E"/>
          <w:sz w:val="24"/>
          <w:szCs w:val="24"/>
        </w:rPr>
        <w:t xml:space="preserve">9.1 Term</w:t>
      </w:r>
    </w:p>
    <w:p>
      <w:pPr>
        <w:spacing w:after="80" w:before="80"/>
        <w:jc w:val="both"/>
      </w:pPr>
      <w:r>
        <w:rPr>
          <w:rFonts w:ascii="Arial" w:cs="Arial" w:eastAsia="Arial" w:hAnsi="Arial"/>
          <w:sz w:val="20"/>
          <w:szCs w:val="20"/>
        </w:rPr>
        <w:t xml:space="preserve">This Agreement commences on the Effective Date and continues until terminated by either party in accordance with this Section.</w:t>
      </w:r>
    </w:p>
    <w:p>
      <w:pPr>
        <w:pStyle w:val="Heading2"/>
        <w:spacing w:after="80" w:before="240"/>
      </w:pPr>
      <w:r>
        <w:rPr>
          <w:rFonts w:ascii="Arial" w:cs="Arial" w:eastAsia="Arial" w:hAnsi="Arial"/>
          <w:b/>
          <w:bCs/>
          <w:color w:val="2C2C3E"/>
          <w:sz w:val="24"/>
          <w:szCs w:val="24"/>
        </w:rPr>
        <w:t xml:space="preserve">9.2 Termination for Convenience</w:t>
      </w:r>
    </w:p>
    <w:p>
      <w:pPr>
        <w:spacing w:after="80" w:before="80"/>
        <w:jc w:val="both"/>
      </w:pPr>
      <w:r>
        <w:rPr>
          <w:rFonts w:ascii="Arial" w:cs="Arial" w:eastAsia="Arial" w:hAnsi="Arial"/>
          <w:sz w:val="20"/>
          <w:szCs w:val="20"/>
        </w:rPr>
        <w:t xml:space="preserve">Either party may terminate this Agreement or any Machine subscription upon thirty (30) days' written notice to the other party. Upon termination for convenience, Client will be entitled to a prorated refund of prepaid fees for unused subscription periods beyond the termination date.</w:t>
      </w:r>
    </w:p>
    <w:p>
      <w:pPr>
        <w:pStyle w:val="Heading2"/>
        <w:spacing w:after="80" w:before="240"/>
      </w:pPr>
      <w:r>
        <w:rPr>
          <w:rFonts w:ascii="Arial" w:cs="Arial" w:eastAsia="Arial" w:hAnsi="Arial"/>
          <w:b/>
          <w:bCs/>
          <w:color w:val="2C2C3E"/>
          <w:sz w:val="24"/>
          <w:szCs w:val="24"/>
        </w:rPr>
        <w:t xml:space="preserve">9.3 Termination for Cause</w:t>
      </w:r>
    </w:p>
    <w:p>
      <w:pPr>
        <w:spacing w:after="80" w:before="80"/>
        <w:jc w:val="both"/>
      </w:pPr>
      <w:r>
        <w:rPr>
          <w:rFonts w:ascii="Arial" w:cs="Arial" w:eastAsia="Arial" w:hAnsi="Arial"/>
          <w:sz w:val="20"/>
          <w:szCs w:val="20"/>
        </w:rPr>
        <w:t xml:space="preserve">MirrorEdge may terminate this Agreement or suspend Client's access immediately and without notice upon:</w:t>
      </w:r>
    </w:p>
    <w:p>
      <w:pPr>
        <w:pStyle w:val="ListParagraph"/>
        <w:numPr>
          <w:ilvl w:val="0"/>
          <w:numId w:val="2"/>
        </w:numPr>
        <w:spacing w:after="60" w:before="60"/>
      </w:pPr>
      <w:r>
        <w:rPr>
          <w:rFonts w:ascii="Arial" w:cs="Arial" w:eastAsia="Arial" w:hAnsi="Arial"/>
          <w:sz w:val="20"/>
          <w:szCs w:val="20"/>
        </w:rPr>
        <w:t xml:space="preserve">Client's material breach of this Agreement, including but not limited to AUP violations, IP misappropriation, or unauthorized resale.</w:t>
      </w:r>
    </w:p>
    <w:p>
      <w:pPr>
        <w:pStyle w:val="ListParagraph"/>
        <w:numPr>
          <w:ilvl w:val="0"/>
          <w:numId w:val="2"/>
        </w:numPr>
        <w:spacing w:after="60" w:before="60"/>
      </w:pPr>
      <w:r>
        <w:rPr>
          <w:rFonts w:ascii="Arial" w:cs="Arial" w:eastAsia="Arial" w:hAnsi="Arial"/>
          <w:sz w:val="20"/>
          <w:szCs w:val="20"/>
        </w:rPr>
        <w:t xml:space="preserve">Client's failure to cure a non-AUP breach within ten (10) days of written notice from MirrorEdge.</w:t>
      </w:r>
    </w:p>
    <w:p>
      <w:pPr>
        <w:pStyle w:val="ListParagraph"/>
        <w:numPr>
          <w:ilvl w:val="0"/>
          <w:numId w:val="2"/>
        </w:numPr>
        <w:spacing w:after="60" w:before="60"/>
      </w:pPr>
      <w:r>
        <w:rPr>
          <w:rFonts w:ascii="Arial" w:cs="Arial" w:eastAsia="Arial" w:hAnsi="Arial"/>
          <w:sz w:val="20"/>
          <w:szCs w:val="20"/>
        </w:rPr>
        <w:t xml:space="preserve">Client's insolvency, bankruptcy filing, or assignment for the benefit of creditors.</w:t>
      </w:r>
    </w:p>
    <w:p>
      <w:pPr>
        <w:pStyle w:val="ListParagraph"/>
        <w:numPr>
          <w:ilvl w:val="0"/>
          <w:numId w:val="2"/>
        </w:numPr>
        <w:spacing w:after="60" w:before="60"/>
      </w:pPr>
      <w:r>
        <w:rPr>
          <w:rFonts w:ascii="Arial" w:cs="Arial" w:eastAsia="Arial" w:hAnsi="Arial"/>
          <w:sz w:val="20"/>
          <w:szCs w:val="20"/>
        </w:rPr>
        <w:t xml:space="preserve">Any regulatory requirement that prevents MirrorEdge from lawfully providing the Services to Client.</w:t>
      </w:r>
    </w:p>
    <w:p>
      <w:pPr>
        <w:pStyle w:val="Heading2"/>
        <w:spacing w:after="80" w:before="240"/>
      </w:pPr>
      <w:r>
        <w:rPr>
          <w:rFonts w:ascii="Arial" w:cs="Arial" w:eastAsia="Arial" w:hAnsi="Arial"/>
          <w:b/>
          <w:bCs/>
          <w:color w:val="2C2C3E"/>
          <w:sz w:val="24"/>
          <w:szCs w:val="24"/>
        </w:rPr>
        <w:t xml:space="preserve">9.4 Effect of Termination</w:t>
      </w:r>
    </w:p>
    <w:p>
      <w:pPr>
        <w:spacing w:after="80" w:before="80"/>
        <w:jc w:val="both"/>
      </w:pPr>
      <w:r>
        <w:rPr>
          <w:rFonts w:ascii="Arial" w:cs="Arial" w:eastAsia="Arial" w:hAnsi="Arial"/>
          <w:sz w:val="20"/>
          <w:szCs w:val="20"/>
        </w:rPr>
        <w:t xml:space="preserve">Upon termination: (a) all licenses granted hereunder immediately terminate; (b) Client must cease all use of the Services and destroy all copies of MirrorEdge software; (c) all outstanding fees become immediately due; (d) Sections 3, 7, 8, 9.4, 10, 12, and 13 survive termination.</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10: DISPUTE RESOLUTION, MEDIATION &amp; ARBITRATION</w:t>
      </w:r>
    </w:p>
    <w:p>
      <w:pPr>
        <w:pStyle w:val="Heading2"/>
        <w:spacing w:after="80" w:before="240"/>
      </w:pPr>
      <w:r>
        <w:rPr>
          <w:rFonts w:ascii="Arial" w:cs="Arial" w:eastAsia="Arial" w:hAnsi="Arial"/>
          <w:b/>
          <w:bCs/>
          <w:color w:val="2C2C3E"/>
          <w:sz w:val="24"/>
          <w:szCs w:val="24"/>
        </w:rPr>
        <w:t xml:space="preserve">10.1 Informal Resolution First</w:t>
      </w:r>
    </w:p>
    <w:p>
      <w:pPr>
        <w:spacing w:after="80" w:before="80"/>
        <w:jc w:val="both"/>
      </w:pPr>
      <w:r>
        <w:rPr>
          <w:rFonts w:ascii="Arial" w:cs="Arial" w:eastAsia="Arial" w:hAnsi="Arial"/>
          <w:sz w:val="20"/>
          <w:szCs w:val="20"/>
        </w:rPr>
        <w:t xml:space="preserve">Before initiating any formal proceeding, the aggrieved party must provide the other party with written notice describing the dispute in reasonable detail. The parties agree to negotiate in good faith for a period of thirty (30) days from the date of such notice to attempt informal resolution.</w:t>
      </w:r>
    </w:p>
    <w:p>
      <w:pPr>
        <w:pStyle w:val="Heading2"/>
        <w:spacing w:after="80" w:before="240"/>
      </w:pPr>
      <w:r>
        <w:rPr>
          <w:rFonts w:ascii="Arial" w:cs="Arial" w:eastAsia="Arial" w:hAnsi="Arial"/>
          <w:b/>
          <w:bCs/>
          <w:color w:val="2C2C3E"/>
          <w:sz w:val="24"/>
          <w:szCs w:val="24"/>
        </w:rPr>
        <w:t xml:space="preserve">10.2 Mediation</w:t>
      </w:r>
    </w:p>
    <w:p>
      <w:pPr>
        <w:spacing w:after="80" w:before="80"/>
        <w:jc w:val="both"/>
      </w:pPr>
      <w:r>
        <w:rPr>
          <w:rFonts w:ascii="Arial" w:cs="Arial" w:eastAsia="Arial" w:hAnsi="Arial"/>
          <w:sz w:val="20"/>
          <w:szCs w:val="20"/>
        </w:rPr>
        <w:t xml:space="preserve">If informal resolution fails, the parties agree to submit the dispute to non-binding mediation administered by a mutually agreed mediator located in Faulkner County, Arkansas, before proceeding to arbitration or litigation.</w:t>
      </w:r>
    </w:p>
    <w:p>
      <w:pPr>
        <w:pStyle w:val="Heading2"/>
        <w:spacing w:after="80" w:before="240"/>
      </w:pPr>
      <w:r>
        <w:rPr>
          <w:rFonts w:ascii="Arial" w:cs="Arial" w:eastAsia="Arial" w:hAnsi="Arial"/>
          <w:b/>
          <w:bCs/>
          <w:color w:val="2C2C3E"/>
          <w:sz w:val="24"/>
          <w:szCs w:val="24"/>
        </w:rPr>
        <w:t xml:space="preserve">10.3 Binding Arbitration</w:t>
      </w:r>
    </w:p>
    <w:p>
      <w:pPr>
        <w:spacing w:after="80" w:before="80"/>
        <w:jc w:val="both"/>
      </w:pPr>
      <w:r>
        <w:rPr>
          <w:rFonts w:ascii="Arial" w:cs="Arial" w:eastAsia="Arial" w:hAnsi="Arial"/>
          <w:sz w:val="20"/>
          <w:szCs w:val="20"/>
        </w:rPr>
        <w:t xml:space="preserve">If mediation fails within sixty (60) days of initiation, any remaining dispute, claim, or controversy arising out of or relating to this Agreement shall be finally resolved by binding arbitration administered by the American Arbitration Association (AAA) under its Commercial Arbitration Rules. The arbitration shall be conducted in Conway, Arkansas. The arbitrator's award shall be final and binding, and judgment may be entered upon it in any court of competent jurisdiction.</w:t>
      </w:r>
    </w:p>
    <w:p>
      <w:pPr>
        <w:pStyle w:val="Heading2"/>
        <w:spacing w:after="80" w:before="240"/>
      </w:pPr>
      <w:r>
        <w:rPr>
          <w:rFonts w:ascii="Arial" w:cs="Arial" w:eastAsia="Arial" w:hAnsi="Arial"/>
          <w:b/>
          <w:bCs/>
          <w:color w:val="2C2C3E"/>
          <w:sz w:val="24"/>
          <w:szCs w:val="24"/>
        </w:rPr>
        <w:t xml:space="preserve">10.4 Class Action Waiver</w:t>
      </w:r>
    </w:p>
    <w:p>
      <w:pPr>
        <w:spacing w:after="80" w:before="80"/>
        <w:jc w:val="both"/>
      </w:pPr>
      <w:r>
        <w:rPr>
          <w:rFonts w:ascii="Arial" w:cs="Arial" w:eastAsia="Arial" w:hAnsi="Arial"/>
          <w:sz w:val="20"/>
          <w:szCs w:val="20"/>
        </w:rPr>
        <w:t xml:space="preserve">TO THE MAXIMUM EXTENT PERMITTED BY LAW, YOU WAIVE ANY RIGHT TO BRING OR PARTICIPATE IN A CLASS ACTION LAWSUIT, CLASS-WIDE ARBITRATION, OR ANY REPRESENTATIVE PROCEEDING AGAINST MIRROREDGE LLC.</w:t>
      </w:r>
    </w:p>
    <w:p>
      <w:pPr>
        <w:pStyle w:val="Heading2"/>
        <w:spacing w:after="80" w:before="240"/>
      </w:pPr>
      <w:r>
        <w:rPr>
          <w:rFonts w:ascii="Arial" w:cs="Arial" w:eastAsia="Arial" w:hAnsi="Arial"/>
          <w:b/>
          <w:bCs/>
          <w:color w:val="2C2C3E"/>
          <w:sz w:val="24"/>
          <w:szCs w:val="24"/>
        </w:rPr>
        <w:t xml:space="preserve">10.5 Exceptions — Emergency Relief</w:t>
      </w:r>
    </w:p>
    <w:p>
      <w:pPr>
        <w:spacing w:after="80" w:before="80"/>
        <w:jc w:val="both"/>
      </w:pPr>
      <w:r>
        <w:rPr>
          <w:rFonts w:ascii="Arial" w:cs="Arial" w:eastAsia="Arial" w:hAnsi="Arial"/>
          <w:sz w:val="20"/>
          <w:szCs w:val="20"/>
        </w:rPr>
        <w:t xml:space="preserve">Nothing in this Section prevents either party from seeking emergency injunctive or equitable relief in a court of competent jurisdiction to prevent irreparable harm, including misappropriation of trade secrets or IP infringement.</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11: MODIFICATIONS TO THIS AGREEMENT</w:t>
      </w:r>
    </w:p>
    <w:p>
      <w:pPr>
        <w:pStyle w:val="Heading2"/>
        <w:spacing w:after="80" w:before="240"/>
      </w:pPr>
      <w:r>
        <w:rPr>
          <w:rFonts w:ascii="Arial" w:cs="Arial" w:eastAsia="Arial" w:hAnsi="Arial"/>
          <w:b/>
          <w:bCs/>
          <w:color w:val="2C2C3E"/>
          <w:sz w:val="24"/>
          <w:szCs w:val="24"/>
        </w:rPr>
        <w:t xml:space="preserve">11.1 Right to Modify</w:t>
      </w:r>
    </w:p>
    <w:p>
      <w:pPr>
        <w:spacing w:after="80" w:before="80"/>
        <w:jc w:val="both"/>
      </w:pPr>
      <w:r>
        <w:rPr>
          <w:rFonts w:ascii="Arial" w:cs="Arial" w:eastAsia="Arial" w:hAnsi="Arial"/>
          <w:sz w:val="20"/>
          <w:szCs w:val="20"/>
        </w:rPr>
        <w:t xml:space="preserve">MirrorEdge reserves the right to modify this Agreement at any time. All modifications will be posted to mirroredgeai.com and, where practicable, communicated to active Clients via email to the address on file.</w:t>
      </w:r>
    </w:p>
    <w:p>
      <w:pPr>
        <w:pStyle w:val="Heading2"/>
        <w:spacing w:after="80" w:before="240"/>
      </w:pPr>
      <w:r>
        <w:rPr>
          <w:rFonts w:ascii="Arial" w:cs="Arial" w:eastAsia="Arial" w:hAnsi="Arial"/>
          <w:b/>
          <w:bCs/>
          <w:color w:val="2C2C3E"/>
          <w:sz w:val="24"/>
          <w:szCs w:val="24"/>
        </w:rPr>
        <w:t xml:space="preserve">11.2 Notice &amp; Acceptance</w:t>
      </w:r>
    </w:p>
    <w:p>
      <w:pPr>
        <w:spacing w:after="80" w:before="80"/>
        <w:jc w:val="both"/>
      </w:pPr>
      <w:r>
        <w:rPr>
          <w:rFonts w:ascii="Arial" w:cs="Arial" w:eastAsia="Arial" w:hAnsi="Arial"/>
          <w:sz w:val="20"/>
          <w:szCs w:val="20"/>
        </w:rPr>
        <w:t xml:space="preserve">Material modifications will be effective thirty (30) days after the posting date. Non-material modifications (e.g., clarifications, formatting corrections) are effective immediately. Your continued use of the Services after the effective date of any modification constitutes your acceptance of the updated Agreement. If you do not agree to a material modification, your sole remedy is to terminate your use of the Services within the thirty-day notice period.</w:t>
      </w:r>
    </w:p>
    <w:p>
      <w:pPr>
        <w:pStyle w:val="Heading2"/>
        <w:spacing w:after="80" w:before="240"/>
      </w:pPr>
      <w:r>
        <w:rPr>
          <w:rFonts w:ascii="Arial" w:cs="Arial" w:eastAsia="Arial" w:hAnsi="Arial"/>
          <w:b/>
          <w:bCs/>
          <w:color w:val="2C2C3E"/>
          <w:sz w:val="24"/>
          <w:szCs w:val="24"/>
        </w:rPr>
        <w:t xml:space="preserve">11.3 Version Control</w:t>
      </w:r>
    </w:p>
    <w:p>
      <w:pPr>
        <w:spacing w:after="80" w:before="80"/>
        <w:jc w:val="both"/>
      </w:pPr>
      <w:r>
        <w:rPr>
          <w:rFonts w:ascii="Arial" w:cs="Arial" w:eastAsia="Arial" w:hAnsi="Arial"/>
          <w:sz w:val="20"/>
          <w:szCs w:val="20"/>
        </w:rPr>
        <w:t xml:space="preserve">Each version of this Agreement will be identified by its version number and effective date. MirrorEdge will maintain an archive of prior versions accessible upon written request.</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12: ARKANSAS LEGAL COMPLIANCE, GOVERNANCE &amp; TAX FRAMEWORK</w:t>
      </w:r>
    </w:p>
    <w:p>
      <w:pPr>
        <w:pStyle w:val="Heading2"/>
        <w:spacing w:after="80" w:before="240"/>
      </w:pPr>
      <w:r>
        <w:rPr>
          <w:rFonts w:ascii="Arial" w:cs="Arial" w:eastAsia="Arial" w:hAnsi="Arial"/>
          <w:b/>
          <w:bCs/>
          <w:color w:val="2C2C3E"/>
          <w:sz w:val="24"/>
          <w:szCs w:val="24"/>
        </w:rPr>
        <w:t xml:space="preserve">12.1 Arkansas LLC Governance</w:t>
      </w:r>
    </w:p>
    <w:p>
      <w:pPr>
        <w:spacing w:after="80" w:before="80"/>
        <w:jc w:val="both"/>
      </w:pPr>
      <w:r>
        <w:rPr>
          <w:rFonts w:ascii="Arial" w:cs="Arial" w:eastAsia="Arial" w:hAnsi="Arial"/>
          <w:sz w:val="20"/>
          <w:szCs w:val="20"/>
        </w:rPr>
        <w:t xml:space="preserve">MirrorEdge LLC operates as an Arkansas Limited Liability Company, filed with the Arkansas Secretary of State. The Company maintains annual Franchise Tax filings due May 1 of each year and operates in Good Standing under Arkansas law. The Company's EIN is registered for all applicable federal tax purposes.</w:t>
      </w:r>
    </w:p>
    <w:p>
      <w:pPr>
        <w:pStyle w:val="Heading2"/>
        <w:spacing w:after="80" w:before="240"/>
      </w:pPr>
      <w:r>
        <w:rPr>
          <w:rFonts w:ascii="Arial" w:cs="Arial" w:eastAsia="Arial" w:hAnsi="Arial"/>
          <w:b/>
          <w:bCs/>
          <w:color w:val="2C2C3E"/>
          <w:sz w:val="24"/>
          <w:szCs w:val="24"/>
        </w:rPr>
        <w:t xml:space="preserve">12.2 SaaS Tax Treatment in Arkansas</w:t>
      </w:r>
    </w:p>
    <w:p>
      <w:pPr>
        <w:spacing w:after="80" w:before="80"/>
        <w:jc w:val="both"/>
      </w:pPr>
      <w:r>
        <w:rPr>
          <w:rFonts w:ascii="Arial" w:cs="Arial" w:eastAsia="Arial" w:hAnsi="Arial"/>
          <w:sz w:val="20"/>
          <w:szCs w:val="20"/>
        </w:rPr>
        <w:t xml:space="preserve">True Software-as-a-Service — where software is accessed remotely via the cloud and no downloadable copy is delivered to the Client — is generally not subject to Arkansas sales tax as of the Effective Date. Clients are responsible for conducting their own sales tax analysis in their applicable jurisdiction. Digital goods (including downloadable UI Kits and Prompt Library exports) may be subject to Arkansas combined sales tax (currently approximately 9.13% in Conway) and applicable local rates once MirrorEdge crosses the registration threshold of $100,000 in revenue or 200 transactions annually.</w:t>
      </w:r>
    </w:p>
    <w:p>
      <w:pPr>
        <w:pStyle w:val="Heading2"/>
        <w:spacing w:after="80" w:before="240"/>
      </w:pPr>
      <w:r>
        <w:rPr>
          <w:rFonts w:ascii="Arial" w:cs="Arial" w:eastAsia="Arial" w:hAnsi="Arial"/>
          <w:b/>
          <w:bCs/>
          <w:color w:val="2C2C3E"/>
          <w:sz w:val="24"/>
          <w:szCs w:val="24"/>
        </w:rPr>
        <w:t xml:space="preserve">12.3 Home Occupation Compliance</w:t>
      </w:r>
    </w:p>
    <w:p>
      <w:pPr>
        <w:spacing w:after="80" w:before="80"/>
        <w:jc w:val="both"/>
      </w:pPr>
      <w:r>
        <w:rPr>
          <w:rFonts w:ascii="Arial" w:cs="Arial" w:eastAsia="Arial" w:hAnsi="Arial"/>
          <w:sz w:val="20"/>
          <w:szCs w:val="20"/>
        </w:rPr>
        <w:t xml:space="preserve">As a home-occupation business operating from Conway, Arkansas, MirrorEdge LLC adheres to all City of Conway Home Occupation regulations, including required Zoning Verification and applicable permits.</w:t>
      </w:r>
    </w:p>
    <w:p>
      <w:pPr>
        <w:pStyle w:val="Heading2"/>
        <w:spacing w:after="80" w:before="240"/>
      </w:pPr>
      <w:r>
        <w:rPr>
          <w:rFonts w:ascii="Arial" w:cs="Arial" w:eastAsia="Arial" w:hAnsi="Arial"/>
          <w:b/>
          <w:bCs/>
          <w:color w:val="2C2C3E"/>
          <w:sz w:val="24"/>
          <w:szCs w:val="24"/>
        </w:rPr>
        <w:t xml:space="preserve">12.4 Export Controls</w:t>
      </w:r>
    </w:p>
    <w:p>
      <w:pPr>
        <w:spacing w:after="80" w:before="80"/>
        <w:jc w:val="both"/>
      </w:pPr>
      <w:r>
        <w:rPr>
          <w:rFonts w:ascii="Arial" w:cs="Arial" w:eastAsia="Arial" w:hAnsi="Arial"/>
          <w:sz w:val="20"/>
          <w:szCs w:val="20"/>
        </w:rPr>
        <w:t xml:space="preserve">The Services may be subject to U.S. Export Administration Regulations (EAR) and may not be exported or re-exported to embargoed countries or denied parties as designated by the U.S. Department of Commerce or the U.S. Treasury's Office of Foreign Assets Control (OFAC). By accessing the Services, you represent that you are not located in, under the control of, or a national or resident of any embargoed country or listed on any denied party list.</w:t>
      </w:r>
    </w:p>
    <w:p>
      <w:pPr>
        <w:pStyle w:val="Heading2"/>
        <w:spacing w:after="80" w:before="240"/>
      </w:pPr>
      <w:r>
        <w:rPr>
          <w:rFonts w:ascii="Arial" w:cs="Arial" w:eastAsia="Arial" w:hAnsi="Arial"/>
          <w:b/>
          <w:bCs/>
          <w:color w:val="2C2C3E"/>
          <w:sz w:val="24"/>
          <w:szCs w:val="24"/>
        </w:rPr>
        <w:t xml:space="preserve">12.5 EU AI Act &amp; GDPR Alignment</w:t>
      </w:r>
    </w:p>
    <w:p>
      <w:pPr>
        <w:spacing w:after="80" w:before="80"/>
        <w:jc w:val="both"/>
      </w:pPr>
      <w:r>
        <w:rPr>
          <w:rFonts w:ascii="Arial" w:cs="Arial" w:eastAsia="Arial" w:hAnsi="Arial"/>
          <w:sz w:val="20"/>
          <w:szCs w:val="20"/>
        </w:rPr>
        <w:t xml:space="preserve">MirrorEdge's Zero-Egress, Vault-first architecture is designed to facilitate Client compliance with the EU AI Act's data localization, explainability, and human oversight requirements. Clients deploying MirrorEdge Services within the European Economic Area remain solely responsible for their own GDPR and EU AI Act compliance determinations. MirrorEdge's GovCore-AI governance framework provides supporting tooling, but does not constitute legal advice or a compliance guarantee.</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13: GOVERNING LAW &amp; VENUE</w:t>
      </w:r>
    </w:p>
    <w:p>
      <w:pPr>
        <w:spacing w:after="80" w:before="80"/>
        <w:jc w:val="both"/>
      </w:pPr>
      <w:r>
        <w:rPr>
          <w:rFonts w:ascii="Arial" w:cs="Arial" w:eastAsia="Arial" w:hAnsi="Arial"/>
          <w:sz w:val="20"/>
          <w:szCs w:val="20"/>
        </w:rPr>
        <w:t xml:space="preserve">This Agreement shall be governed by and construed in accordance with the laws of the State of Arkansas, without regard to its conflict of law principles. Subject to the dispute resolution procedures in Section 10, any legal action not subject to arbitration shall be brought exclusively in the federal or state courts of competent jurisdiction located in Faulkner County, Conway, Arkansas. Both parties hereby irrevocably consent to the personal jurisdiction and exclusive venue of those courts.</w:t>
      </w:r>
    </w:p>
    <w:p>
      <w:pPr>
        <w:spacing w:after="80" w:before="80"/>
      </w:pPr>
    </w:p>
    <w:p>
      <w:pPr>
        <w:pStyle w:val="Heading1"/>
        <w:pBdr>
          <w:bottom w:val="single" w:color="C9A84C" w:sz="6" w:space="4"/>
        </w:pBdr>
        <w:spacing w:after="120" w:before="360"/>
      </w:pPr>
      <w:r>
        <w:rPr>
          <w:rFonts w:ascii="Arial" w:cs="Arial" w:eastAsia="Arial" w:hAnsi="Arial"/>
          <w:b/>
          <w:bCs/>
          <w:color w:val="1A1A2E"/>
          <w:sz w:val="28"/>
          <w:szCs w:val="28"/>
        </w:rPr>
        <w:t xml:space="preserve">SECTION 14: GENERAL PROVISIONS</w:t>
      </w:r>
    </w:p>
    <w:p>
      <w:pPr>
        <w:pStyle w:val="Heading2"/>
        <w:spacing w:after="80" w:before="240"/>
      </w:pPr>
      <w:r>
        <w:rPr>
          <w:rFonts w:ascii="Arial" w:cs="Arial" w:eastAsia="Arial" w:hAnsi="Arial"/>
          <w:b/>
          <w:bCs/>
          <w:color w:val="2C2C3E"/>
          <w:sz w:val="24"/>
          <w:szCs w:val="24"/>
        </w:rPr>
        <w:t xml:space="preserve">14.1 Entire Agreement</w:t>
      </w:r>
    </w:p>
    <w:p>
      <w:pPr>
        <w:spacing w:after="80" w:before="80"/>
        <w:jc w:val="both"/>
      </w:pPr>
      <w:r>
        <w:rPr>
          <w:rFonts w:ascii="Arial" w:cs="Arial" w:eastAsia="Arial" w:hAnsi="Arial"/>
          <w:sz w:val="20"/>
          <w:szCs w:val="20"/>
        </w:rPr>
        <w:t xml:space="preserve">This Agreement, together with any executed Product Addenda, Order Forms, and NDAs, constitutes the entire agreement between the parties with respect to its subject matter and supersedes all prior or contemporaneous agreements, representations, warranties, and understandings.</w:t>
      </w:r>
    </w:p>
    <w:p>
      <w:pPr>
        <w:pStyle w:val="Heading2"/>
        <w:spacing w:after="80" w:before="240"/>
      </w:pPr>
      <w:r>
        <w:rPr>
          <w:rFonts w:ascii="Arial" w:cs="Arial" w:eastAsia="Arial" w:hAnsi="Arial"/>
          <w:b/>
          <w:bCs/>
          <w:color w:val="2C2C3E"/>
          <w:sz w:val="24"/>
          <w:szCs w:val="24"/>
        </w:rPr>
        <w:t xml:space="preserve">14.2 Severability</w:t>
      </w:r>
    </w:p>
    <w:p>
      <w:pPr>
        <w:spacing w:after="80" w:before="80"/>
        <w:jc w:val="both"/>
      </w:pPr>
      <w:r>
        <w:rPr>
          <w:rFonts w:ascii="Arial" w:cs="Arial" w:eastAsia="Arial" w:hAnsi="Arial"/>
          <w:sz w:val="20"/>
          <w:szCs w:val="20"/>
        </w:rPr>
        <w:t xml:space="preserve">If any provision of this Agreement is held by a court or arbitrator of competent jurisdiction to be invalid, illegal, or unenforceable, such provision shall be modified to the minimum extent necessary to make it enforceable, or severed if modification is not possible. The remaining provisions of this Agreement shall continue in full force and effect.</w:t>
      </w:r>
    </w:p>
    <w:p>
      <w:pPr>
        <w:pStyle w:val="Heading2"/>
        <w:spacing w:after="80" w:before="240"/>
      </w:pPr>
      <w:r>
        <w:rPr>
          <w:rFonts w:ascii="Arial" w:cs="Arial" w:eastAsia="Arial" w:hAnsi="Arial"/>
          <w:b/>
          <w:bCs/>
          <w:color w:val="2C2C3E"/>
          <w:sz w:val="24"/>
          <w:szCs w:val="24"/>
        </w:rPr>
        <w:t xml:space="preserve">14.3 No Waiver</w:t>
      </w:r>
    </w:p>
    <w:p>
      <w:pPr>
        <w:spacing w:after="80" w:before="80"/>
        <w:jc w:val="both"/>
      </w:pPr>
      <w:r>
        <w:rPr>
          <w:rFonts w:ascii="Arial" w:cs="Arial" w:eastAsia="Arial" w:hAnsi="Arial"/>
          <w:sz w:val="20"/>
          <w:szCs w:val="20"/>
        </w:rPr>
        <w:t xml:space="preserve">The failure of either party to exercise or enforce any right or provision of this Agreement shall not constitute a waiver of that right or provision. Any waiver must be in writing and signed by an authorized representative of the waiving party.</w:t>
      </w:r>
    </w:p>
    <w:p>
      <w:pPr>
        <w:pStyle w:val="Heading2"/>
        <w:spacing w:after="80" w:before="240"/>
      </w:pPr>
      <w:r>
        <w:rPr>
          <w:rFonts w:ascii="Arial" w:cs="Arial" w:eastAsia="Arial" w:hAnsi="Arial"/>
          <w:b/>
          <w:bCs/>
          <w:color w:val="2C2C3E"/>
          <w:sz w:val="24"/>
          <w:szCs w:val="24"/>
        </w:rPr>
        <w:t xml:space="preserve">14.4 Force Majeure</w:t>
      </w:r>
    </w:p>
    <w:p>
      <w:pPr>
        <w:spacing w:after="80" w:before="80"/>
        <w:jc w:val="both"/>
      </w:pPr>
      <w:r>
        <w:rPr>
          <w:rFonts w:ascii="Arial" w:cs="Arial" w:eastAsia="Arial" w:hAnsi="Arial"/>
          <w:sz w:val="20"/>
          <w:szCs w:val="20"/>
        </w:rPr>
        <w:t xml:space="preserve">Neither party shall be liable for delays or failures in performance resulting from circumstances beyond its reasonable control, including but not limited to acts of God, government actions, pandemics, cyberattacks by third parties, power outages, or disruptions to cloud infrastructure providers.</w:t>
      </w:r>
    </w:p>
    <w:p>
      <w:pPr>
        <w:pStyle w:val="Heading2"/>
        <w:spacing w:after="80" w:before="240"/>
      </w:pPr>
      <w:r>
        <w:rPr>
          <w:rFonts w:ascii="Arial" w:cs="Arial" w:eastAsia="Arial" w:hAnsi="Arial"/>
          <w:b/>
          <w:bCs/>
          <w:color w:val="2C2C3E"/>
          <w:sz w:val="24"/>
          <w:szCs w:val="24"/>
        </w:rPr>
        <w:t xml:space="preserve">14.5 Assignment</w:t>
      </w:r>
    </w:p>
    <w:p>
      <w:pPr>
        <w:spacing w:after="80" w:before="80"/>
        <w:jc w:val="both"/>
      </w:pPr>
      <w:r>
        <w:rPr>
          <w:rFonts w:ascii="Arial" w:cs="Arial" w:eastAsia="Arial" w:hAnsi="Arial"/>
          <w:sz w:val="20"/>
          <w:szCs w:val="20"/>
        </w:rPr>
        <w:t xml:space="preserve">You may not assign this Agreement or any of your rights hereunder without MirrorEdge's prior written consent. MirrorEdge may assign this Agreement in connection with a merger, acquisition, or sale of all or substantially all of its assets upon written notice to you.</w:t>
      </w:r>
    </w:p>
    <w:p>
      <w:pPr>
        <w:pStyle w:val="Heading2"/>
        <w:spacing w:after="80" w:before="240"/>
      </w:pPr>
      <w:r>
        <w:rPr>
          <w:rFonts w:ascii="Arial" w:cs="Arial" w:eastAsia="Arial" w:hAnsi="Arial"/>
          <w:b/>
          <w:bCs/>
          <w:color w:val="2C2C3E"/>
          <w:sz w:val="24"/>
          <w:szCs w:val="24"/>
        </w:rPr>
        <w:t xml:space="preserve">14.6 Insurance</w:t>
      </w:r>
    </w:p>
    <w:p>
      <w:pPr>
        <w:spacing w:after="80" w:before="80"/>
        <w:jc w:val="both"/>
      </w:pPr>
      <w:r>
        <w:rPr>
          <w:rFonts w:ascii="Arial" w:cs="Arial" w:eastAsia="Arial" w:hAnsi="Arial"/>
          <w:sz w:val="20"/>
          <w:szCs w:val="20"/>
        </w:rPr>
        <w:t xml:space="preserve">MirrorEdge strongly recommends that enterprise Clients, particularly those deploying Med-Vault Diagnostix, Precedent-Ghost, or Sky-Watcher Compliance, maintain appropriate Errors &amp; Omissions (E&amp;O) and Cyber Liability insurance coverage prior to scaling deployments.</w:t>
      </w:r>
    </w:p>
    <w:p>
      <w:pPr>
        <w:pStyle w:val="Heading2"/>
        <w:spacing w:after="80" w:before="240"/>
      </w:pPr>
      <w:r>
        <w:rPr>
          <w:rFonts w:ascii="Arial" w:cs="Arial" w:eastAsia="Arial" w:hAnsi="Arial"/>
          <w:b/>
          <w:bCs/>
          <w:color w:val="2C2C3E"/>
          <w:sz w:val="24"/>
          <w:szCs w:val="24"/>
        </w:rPr>
        <w:t xml:space="preserve">14.7 Notices</w:t>
      </w:r>
    </w:p>
    <w:p>
      <w:pPr>
        <w:spacing w:after="80" w:before="80"/>
        <w:jc w:val="both"/>
      </w:pPr>
      <w:r>
        <w:rPr>
          <w:rFonts w:ascii="Arial" w:cs="Arial" w:eastAsia="Arial" w:hAnsi="Arial"/>
          <w:sz w:val="20"/>
          <w:szCs w:val="20"/>
        </w:rPr>
        <w:t xml:space="preserve">All legal notices under this Agreement must be in writing and sent to MirrorEdge LLC at its registered address in Conway, Faulkner County, Arkansas, or via email to william@mirroredgeai.com with written confirmation of receipt. Notices to Clients will be sent to the email address on file.</w:t>
      </w:r>
    </w:p>
    <w:p>
      <w:pPr>
        <w:pStyle w:val="Heading2"/>
        <w:spacing w:after="80" w:before="240"/>
      </w:pPr>
      <w:r>
        <w:rPr>
          <w:rFonts w:ascii="Arial" w:cs="Arial" w:eastAsia="Arial" w:hAnsi="Arial"/>
          <w:b/>
          <w:bCs/>
          <w:color w:val="2C2C3E"/>
          <w:sz w:val="24"/>
          <w:szCs w:val="24"/>
        </w:rPr>
        <w:t xml:space="preserve">14.8 Relationship of the Parties</w:t>
      </w:r>
    </w:p>
    <w:p>
      <w:pPr>
        <w:spacing w:after="80" w:before="80"/>
        <w:jc w:val="both"/>
      </w:pPr>
      <w:r>
        <w:rPr>
          <w:rFonts w:ascii="Arial" w:cs="Arial" w:eastAsia="Arial" w:hAnsi="Arial"/>
          <w:sz w:val="20"/>
          <w:szCs w:val="20"/>
        </w:rPr>
        <w:t xml:space="preserve">The parties are independent contractors. Nothing in this Agreement creates any partnership, joint venture, agency, franchise, or employment relationship between MirrorEdge and the Client.</w:t>
      </w:r>
    </w:p>
    <w:p>
      <w:pPr>
        <w:spacing w:after="80" w:before="120"/>
      </w:pPr>
    </w:p>
    <w:p>
      <w:pPr>
        <w:pBdr>
          <w:bottom w:val="single" w:color="C9A84C" w:sz="8" w:space="1"/>
        </w:pBdr>
        <w:spacing w:after="200" w:before="200"/>
      </w:pPr>
    </w:p>
    <w:p>
      <w:pPr>
        <w:spacing w:after="60" w:before="120"/>
        <w:jc w:val="center"/>
      </w:pPr>
      <w:r>
        <w:rPr>
          <w:rFonts w:ascii="Arial" w:cs="Arial" w:eastAsia="Arial" w:hAnsi="Arial"/>
          <w:b/>
          <w:bCs/>
          <w:color w:val="1A1A2E"/>
          <w:sz w:val="28"/>
          <w:szCs w:val="28"/>
        </w:rPr>
        <w:t xml:space="preserve">[ ACCEPTANCE GATE ]</w:t>
      </w:r>
    </w:p>
    <w:p>
      <w:pPr>
        <w:spacing w:after="80" w:before="0"/>
        <w:jc w:val="center"/>
      </w:pPr>
      <w:r>
        <w:rPr>
          <w:rFonts w:ascii="Arial" w:cs="Arial" w:eastAsia="Arial" w:hAnsi="Arial"/>
          <w:b/>
          <w:bCs/>
          <w:color w:val="0D0D0D"/>
          <w:sz w:val="18"/>
          <w:szCs w:val="18"/>
        </w:rPr>
        <w:t xml:space="preserve">BY DEPLOYING MIRROREDGE CONTAINERS, INITIALIZING THE MEOP PROTOCOL, OR CLICKING "I ACCEPT," YOU ACKNOWLEDGE THAT YOU HAVE READ THIS AGREEMENT IN ITS ENTIRETY, UNDERSTAND ITS PROVISIONS — INCLUDING THE PROBABILISTIC NATURE OF AI OUTPUTS AND THE MANDATORY HUMAN-IN-THE-LOOP VERIFICATION OBLIGATION — AND AGREE TO BE BOUND BY ALL OF ITS TERMS.</w:t>
      </w:r>
    </w:p>
    <w:p>
      <w:pPr>
        <w:pBdr>
          <w:bottom w:val="single" w:color="C9A84C" w:sz="8" w:space="1"/>
        </w:pBdr>
        <w:spacing w:after="200" w:before="200"/>
      </w:pPr>
    </w:p>
    <w:p>
      <w:pPr>
        <w:spacing w:after="40" w:before="120"/>
      </w:pPr>
    </w:p>
    <w:p>
      <w:r>
        <w:rPr>
          <w:rFonts w:ascii="Arial" w:cs="Arial" w:eastAsia="Arial" w:hAnsi="Arial"/>
          <w:sz w:val="20"/>
          <w:szCs w:val="20"/>
        </w:rPr>
        <w:t xml:space="preserve">Client Signature: ______________________________     Date: _______________</w:t>
      </w:r>
    </w:p>
    <w:p>
      <w:pPr>
        <w:spacing w:after="40" w:before="40"/>
      </w:pPr>
    </w:p>
    <w:p>
      <w:r>
        <w:rPr>
          <w:rFonts w:ascii="Arial" w:cs="Arial" w:eastAsia="Arial" w:hAnsi="Arial"/>
          <w:sz w:val="20"/>
          <w:szCs w:val="20"/>
        </w:rPr>
        <w:t xml:space="preserve">Printed Name: __________________________________     Title: _______________</w:t>
      </w:r>
    </w:p>
    <w:p>
      <w:pPr>
        <w:spacing w:after="40" w:before="40"/>
      </w:pPr>
    </w:p>
    <w:p>
      <w:r>
        <w:rPr>
          <w:rFonts w:ascii="Arial" w:cs="Arial" w:eastAsia="Arial" w:hAnsi="Arial"/>
          <w:sz w:val="20"/>
          <w:szCs w:val="20"/>
        </w:rPr>
        <w:t xml:space="preserve">Company/Entity: ___________________________________________</w:t>
      </w:r>
    </w:p>
    <w:p>
      <w:pPr>
        <w:spacing w:after="80" w:before="80"/>
      </w:pPr>
    </w:p>
    <w:p>
      <w:pPr>
        <w:spacing w:after="40" w:before="60"/>
        <w:jc w:val="right"/>
      </w:pPr>
      <w:r>
        <w:rPr>
          <w:rFonts w:ascii="Arial" w:cs="Arial" w:eastAsia="Arial" w:hAnsi="Arial"/>
          <w:b/>
          <w:bCs/>
          <w:color w:val="1A1A2E"/>
          <w:sz w:val="20"/>
          <w:szCs w:val="20"/>
        </w:rPr>
        <w:t xml:space="preserve">MirrorEdge LLC — Authorized Signatory</w:t>
      </w:r>
    </w:p>
    <w:p>
      <w:pPr>
        <w:jc w:val="right"/>
      </w:pPr>
      <w:r>
        <w:rPr>
          <w:rFonts w:ascii="Arial" w:cs="Arial" w:eastAsia="Arial" w:hAnsi="Arial"/>
          <w:sz w:val="20"/>
          <w:szCs w:val="20"/>
        </w:rPr>
        <w:t xml:space="preserve">William [Last Name] | Founder &amp; CEO | MirrorEdge LLC</w:t>
      </w:r>
    </w:p>
    <w:p>
      <w:pPr>
        <w:jc w:val="right"/>
      </w:pPr>
      <w:r>
        <w:rPr>
          <w:rFonts w:ascii="Arial" w:cs="Arial" w:eastAsia="Arial" w:hAnsi="Arial"/>
          <w:color w:val="777777"/>
          <w:sz w:val="20"/>
          <w:szCs w:val="20"/>
        </w:rPr>
        <w:t xml:space="preserve">Conway, Arkansas | mirroredgeai.com</w:t>
      </w:r>
    </w:p>
    <w:p>
      <w:pPr>
        <w:spacing w:after="60" w:before="60"/>
      </w:pPr>
    </w:p>
    <w:p>
      <w:pPr>
        <w:pBdr>
          <w:bottom w:val="single" w:color="C9A84C" w:sz="8" w:space="1"/>
        </w:pBdr>
        <w:spacing w:after="200" w:before="200"/>
      </w:pPr>
    </w:p>
    <w:p>
      <w:pPr>
        <w:spacing w:after="0" w:before="60"/>
        <w:jc w:val="center"/>
      </w:pPr>
      <w:r>
        <w:rPr>
          <w:rFonts w:ascii="Arial" w:cs="Arial" w:eastAsia="Arial" w:hAnsi="Arial"/>
          <w:color w:val="888888"/>
          <w:sz w:val="18"/>
          <w:szCs w:val="18"/>
        </w:rPr>
        <w:t xml:space="preserve">MirrorEdge LLC  —  </w:t>
      </w:r>
      <w:r>
        <w:rPr>
          <w:rFonts w:ascii="Arial" w:cs="Arial" w:eastAsia="Arial" w:hAnsi="Arial"/>
          <w:i/>
          <w:iCs/>
          <w:color w:val="C9A84C"/>
          <w:sz w:val="18"/>
          <w:szCs w:val="18"/>
        </w:rPr>
        <w:t xml:space="preserve">"reflect real world problems back, with cutting edge technology!"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spacing w:before="60"/>
      <w:jc w:val="center"/>
    </w:pPr>
    <w:r>
      <w:rPr>
        <w:rFonts w:ascii="Arial" w:cs="Arial" w:eastAsia="Arial" w:hAnsi="Arial"/>
        <w:color w:val="888888"/>
        <w:sz w:val="16"/>
        <w:szCs w:val="16"/>
      </w:rPr>
      <w:t xml:space="preserve">MirrorEdge LLC  |  Conway, Arkansas  |  mirroredgeai.com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spacing w:after="60"/>
      <w:jc w:val="center"/>
    </w:pPr>
    <w:r>
      <w:rPr>
        <w:rFonts w:ascii="Arial" w:cs="Arial" w:eastAsia="Arial" w:hAnsi="Arial"/>
        <w:b/>
        <w:bCs/>
        <w:color w:val="1A1A2E"/>
        <w:sz w:val="20"/>
        <w:szCs w:val="20"/>
      </w:rPr>
      <w:t xml:space="preserve">MIRROREDGE LLC</w:t>
    </w:r>
    <w:r>
      <w:rPr>
        <w:rFonts w:ascii="Arial" w:cs="Arial" w:eastAsia="Arial" w:hAnsi="Arial"/>
        <w:color w:val="666666"/>
        <w:sz w:val="18"/>
        <w:szCs w:val="18"/>
      </w:rPr>
      <w:t xml:space="preserve">  |  MASTER TERMS OF SERVICE &amp; SOVEREIGNTY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1A2E"/>
      <w:sz w:val="28"/>
      <w:szCs w:val="28"/>
    </w:rPr>
  </w:style>
  <w:style w:type="paragraph" w:styleId="Heading2">
    <w:name w:val="Heading 2"/>
    <w:basedOn w:val="Normal"/>
    <w:next w:val="Normal"/>
    <w:qFormat/>
    <w:pPr>
      <w:spacing w:after="80" w:before="240"/>
      <w:outlineLvl w:val="1"/>
    </w:pPr>
    <w:rPr>
      <w:rFonts w:ascii="Arial" w:cs="Arial" w:eastAsia="Arial" w:hAnsi="Arial"/>
      <w:b/>
      <w:bCs/>
      <w:color w:val="2C2C3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2026-04-11T03:05:20.091Z</dcterms:created>
  <dcterms:modified xsi:type="dcterms:W3CDTF">2026-04-11T03:05:20.092Z</dcterms:modified>
</cp:coreProperties>
</file>

<file path=docProps/custom.xml><?xml version="1.0" encoding="utf-8"?>
<Properties xmlns="http://schemas.openxmlformats.org/officeDocument/2006/custom-properties" xmlns:vt="http://schemas.openxmlformats.org/officeDocument/2006/docPropsVTypes"/>
</file>